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206E" w14:textId="77777777" w:rsidR="003E07F4" w:rsidRDefault="003E07F4" w:rsidP="003E07F4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ФЕДЕРАЛЬНАЯ СЛУЖБА ГОСУДАРСТВЕННОЙ РЕГИСТРАЦИИ,</w:t>
      </w:r>
    </w:p>
    <w:p w14:paraId="4A2CE9D0" w14:textId="77777777" w:rsidR="003E07F4" w:rsidRDefault="003E07F4" w:rsidP="003E07F4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КАДАСТРА И КАРТОГРАФИИ</w:t>
      </w:r>
    </w:p>
    <w:p w14:paraId="38129FD6" w14:textId="77777777" w:rsidR="003E07F4" w:rsidRDefault="003E07F4" w:rsidP="003E07F4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14:paraId="3D8AB553" w14:textId="77777777" w:rsidR="003E07F4" w:rsidRDefault="003E07F4" w:rsidP="003E07F4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от 25 декабря 2023 г. N 14-12162-ТГ/23</w:t>
      </w:r>
    </w:p>
    <w:p w14:paraId="0D5B102A" w14:textId="77777777" w:rsidR="003E07F4" w:rsidRDefault="003E07F4" w:rsidP="003E07F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Федеральная служба государственной регистрации, кадастра и картографии в связи с вступлением в силу 01.09.2023 </w:t>
      </w:r>
      <w:hyperlink r:id="rId4" w:history="1">
        <w:r>
          <w:rPr>
            <w:rStyle w:val="a4"/>
            <w:color w:val="1A0DAB"/>
            <w:sz w:val="30"/>
            <w:szCs w:val="30"/>
          </w:rPr>
          <w:t>постановления</w:t>
        </w:r>
      </w:hyperlink>
      <w:r>
        <w:rPr>
          <w:color w:val="000000"/>
          <w:sz w:val="30"/>
          <w:szCs w:val="30"/>
        </w:rPr>
        <w:t> Правительства Российской Федерации от 18.02.2023 N 270 "О некоторых вопросах использования земельных участков, расположенных в границах охранных зон объектов электросетевого хозяйства" (далее - Постановление), с учетом позиции Минэнерго России и Ростехнадзора сообщает следующее.</w:t>
      </w:r>
    </w:p>
    <w:p w14:paraId="7987DB05" w14:textId="77777777" w:rsidR="003E07F4" w:rsidRDefault="003E07F4" w:rsidP="003E07F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соответствии с </w:t>
      </w:r>
      <w:hyperlink r:id="rId5" w:history="1">
        <w:r>
          <w:rPr>
            <w:rStyle w:val="a4"/>
            <w:color w:val="1A0DAB"/>
            <w:sz w:val="30"/>
            <w:szCs w:val="30"/>
          </w:rPr>
          <w:t>Постановлением</w:t>
        </w:r>
      </w:hyperlink>
      <w:r>
        <w:rPr>
          <w:color w:val="000000"/>
          <w:sz w:val="30"/>
          <w:szCs w:val="30"/>
        </w:rPr>
        <w:t> </w:t>
      </w:r>
      <w:hyperlink r:id="rId6" w:anchor="dst15" w:history="1">
        <w:r>
          <w:rPr>
            <w:rStyle w:val="a4"/>
            <w:color w:val="1A0DAB"/>
            <w:sz w:val="30"/>
            <w:szCs w:val="30"/>
          </w:rPr>
          <w:t>пункты 10</w:t>
        </w:r>
      </w:hyperlink>
      <w:r>
        <w:rPr>
          <w:color w:val="000000"/>
          <w:sz w:val="30"/>
          <w:szCs w:val="30"/>
        </w:rPr>
        <w:t> - </w:t>
      </w:r>
      <w:hyperlink r:id="rId7" w:anchor="dst89" w:history="1">
        <w:r>
          <w:rPr>
            <w:rStyle w:val="a4"/>
            <w:color w:val="1A0DAB"/>
            <w:sz w:val="30"/>
            <w:szCs w:val="30"/>
          </w:rPr>
          <w:t>12</w:t>
        </w:r>
      </w:hyperlink>
      <w:r>
        <w:rPr>
          <w:color w:val="000000"/>
          <w:sz w:val="30"/>
          <w:szCs w:val="30"/>
        </w:rPr>
        <w:t> 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Российской Федерации от 24.02.2009 N 160 (далее - Правила), изложены в новой редакции, в силу которой в охранных зонах допускается размещение зданий и сооружений при соблюдении определенных параметров; при этом наличие письменного разрешения о согласовании строительства сетевыми организациями не требуется.</w:t>
      </w:r>
    </w:p>
    <w:p w14:paraId="6BEA3EC2" w14:textId="77777777" w:rsidR="003E07F4" w:rsidRDefault="003E07F4" w:rsidP="003E07F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Положениями </w:t>
      </w:r>
      <w:hyperlink r:id="rId8" w:anchor="dst1035" w:history="1">
        <w:r>
          <w:rPr>
            <w:rStyle w:val="a4"/>
            <w:color w:val="1A0DAB"/>
            <w:sz w:val="30"/>
            <w:szCs w:val="30"/>
          </w:rPr>
          <w:t>частей 12</w:t>
        </w:r>
      </w:hyperlink>
      <w:r>
        <w:rPr>
          <w:color w:val="000000"/>
          <w:sz w:val="30"/>
          <w:szCs w:val="30"/>
        </w:rPr>
        <w:t> - </w:t>
      </w:r>
      <w:hyperlink r:id="rId9" w:anchor="dst318" w:history="1">
        <w:r>
          <w:rPr>
            <w:rStyle w:val="a4"/>
            <w:color w:val="1A0DAB"/>
            <w:sz w:val="30"/>
            <w:szCs w:val="30"/>
          </w:rPr>
          <w:t>14 статьи 70</w:t>
        </w:r>
      </w:hyperlink>
      <w:r>
        <w:rPr>
          <w:color w:val="000000"/>
          <w:sz w:val="30"/>
          <w:szCs w:val="30"/>
        </w:rPr>
        <w:t> Федерального закона от 13.07.2015 N 218-ФЗ "О государственной регистрации недвижимости" (далее - Закон N 218-ФЗ) установлен упрощенный порядок осуществления государственного кадастрового учета и государственной регистрации прав на жилой или садовый дом, созданный на земельном участке, предназначенном для ведения гражданами садоводства, для индивидуального жилищного строительства или для ведения личного подсобного хозяйства в границах населенного пункта, для осуществления крестьянским (фермерским) хозяйством своей деятельности ("дачная амнистия"), а также пределы правовой экспертизы органа регистрации прав.</w:t>
      </w:r>
    </w:p>
    <w:p w14:paraId="147680B4" w14:textId="77777777" w:rsidR="003E07F4" w:rsidRDefault="003E07F4" w:rsidP="003E07F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соответствии с </w:t>
      </w:r>
      <w:hyperlink r:id="rId10" w:anchor="dst978" w:history="1">
        <w:r>
          <w:rPr>
            <w:rStyle w:val="a4"/>
            <w:color w:val="1A0DAB"/>
            <w:sz w:val="30"/>
            <w:szCs w:val="30"/>
          </w:rPr>
          <w:t>частью 13 статьи 70</w:t>
        </w:r>
      </w:hyperlink>
      <w:r>
        <w:rPr>
          <w:color w:val="000000"/>
          <w:sz w:val="30"/>
          <w:szCs w:val="30"/>
        </w:rPr>
        <w:t> Закона N 218-ФЗ при проведении правовой экспертизы документов, представленных для осуществления государственного кадастрового учета и (или) государственной регистрации прав в случае, предусмотренном </w:t>
      </w:r>
      <w:hyperlink r:id="rId11" w:anchor="dst1035" w:history="1">
        <w:r>
          <w:rPr>
            <w:rStyle w:val="a4"/>
            <w:color w:val="1A0DAB"/>
            <w:sz w:val="30"/>
            <w:szCs w:val="30"/>
          </w:rPr>
          <w:t>частью 12 статьи 70</w:t>
        </w:r>
      </w:hyperlink>
      <w:r>
        <w:rPr>
          <w:color w:val="000000"/>
          <w:sz w:val="30"/>
          <w:szCs w:val="30"/>
        </w:rPr>
        <w:t xml:space="preserve"> Закона N 218-ФЗ, государственным регистратором прав </w:t>
      </w:r>
      <w:r>
        <w:rPr>
          <w:color w:val="000000"/>
          <w:sz w:val="30"/>
          <w:szCs w:val="30"/>
        </w:rPr>
        <w:lastRenderedPageBreak/>
        <w:t>осуществляется проверка представленных документов на предмет наличия или отсутствия предусмотренных </w:t>
      </w:r>
      <w:hyperlink r:id="rId12" w:anchor="dst100381" w:history="1">
        <w:r>
          <w:rPr>
            <w:rStyle w:val="a4"/>
            <w:color w:val="1A0DAB"/>
            <w:sz w:val="30"/>
            <w:szCs w:val="30"/>
          </w:rPr>
          <w:t>пунктами 1</w:t>
        </w:r>
      </w:hyperlink>
      <w:r>
        <w:rPr>
          <w:color w:val="000000"/>
          <w:sz w:val="30"/>
          <w:szCs w:val="30"/>
        </w:rPr>
        <w:t> - </w:t>
      </w:r>
      <w:hyperlink r:id="rId13" w:anchor="dst100390" w:history="1">
        <w:r>
          <w:rPr>
            <w:rStyle w:val="a4"/>
            <w:color w:val="1A0DAB"/>
            <w:sz w:val="30"/>
            <w:szCs w:val="30"/>
          </w:rPr>
          <w:t>10</w:t>
        </w:r>
      </w:hyperlink>
      <w:r>
        <w:rPr>
          <w:color w:val="000000"/>
          <w:sz w:val="30"/>
          <w:szCs w:val="30"/>
        </w:rPr>
        <w:t>, </w:t>
      </w:r>
      <w:hyperlink r:id="rId14" w:anchor="dst100392" w:history="1">
        <w:r>
          <w:rPr>
            <w:rStyle w:val="a4"/>
            <w:color w:val="1A0DAB"/>
            <w:sz w:val="30"/>
            <w:szCs w:val="30"/>
          </w:rPr>
          <w:t>12</w:t>
        </w:r>
      </w:hyperlink>
      <w:r>
        <w:rPr>
          <w:color w:val="000000"/>
          <w:sz w:val="30"/>
          <w:szCs w:val="30"/>
        </w:rPr>
        <w:t>, </w:t>
      </w:r>
      <w:hyperlink r:id="rId15" w:anchor="dst100394" w:history="1">
        <w:r>
          <w:rPr>
            <w:rStyle w:val="a4"/>
            <w:color w:val="1A0DAB"/>
            <w:sz w:val="30"/>
            <w:szCs w:val="30"/>
          </w:rPr>
          <w:t>14</w:t>
        </w:r>
      </w:hyperlink>
      <w:r>
        <w:rPr>
          <w:color w:val="000000"/>
          <w:sz w:val="30"/>
          <w:szCs w:val="30"/>
        </w:rPr>
        <w:t>, </w:t>
      </w:r>
      <w:hyperlink r:id="rId16" w:anchor="dst100398" w:history="1">
        <w:r>
          <w:rPr>
            <w:rStyle w:val="a4"/>
            <w:color w:val="1A0DAB"/>
            <w:sz w:val="30"/>
            <w:szCs w:val="30"/>
          </w:rPr>
          <w:t>18</w:t>
        </w:r>
      </w:hyperlink>
      <w:r>
        <w:rPr>
          <w:color w:val="000000"/>
          <w:sz w:val="30"/>
          <w:szCs w:val="30"/>
        </w:rPr>
        <w:t>, </w:t>
      </w:r>
      <w:hyperlink r:id="rId17" w:anchor="dst477" w:history="1">
        <w:r>
          <w:rPr>
            <w:rStyle w:val="a4"/>
            <w:color w:val="1A0DAB"/>
            <w:sz w:val="30"/>
            <w:szCs w:val="30"/>
          </w:rPr>
          <w:t>22</w:t>
        </w:r>
      </w:hyperlink>
      <w:r>
        <w:rPr>
          <w:color w:val="000000"/>
          <w:sz w:val="30"/>
          <w:szCs w:val="30"/>
        </w:rPr>
        <w:t>, </w:t>
      </w:r>
      <w:hyperlink r:id="rId18" w:anchor="dst100415" w:history="1">
        <w:r>
          <w:rPr>
            <w:rStyle w:val="a4"/>
            <w:color w:val="1A0DAB"/>
            <w:sz w:val="30"/>
            <w:szCs w:val="30"/>
          </w:rPr>
          <w:t>35</w:t>
        </w:r>
      </w:hyperlink>
      <w:r>
        <w:rPr>
          <w:color w:val="000000"/>
          <w:sz w:val="30"/>
          <w:szCs w:val="30"/>
        </w:rPr>
        <w:t>, </w:t>
      </w:r>
      <w:hyperlink r:id="rId19" w:anchor="dst752" w:history="1">
        <w:r>
          <w:rPr>
            <w:rStyle w:val="a4"/>
            <w:color w:val="1A0DAB"/>
            <w:sz w:val="30"/>
            <w:szCs w:val="30"/>
          </w:rPr>
          <w:t>37</w:t>
        </w:r>
      </w:hyperlink>
      <w:r>
        <w:rPr>
          <w:color w:val="000000"/>
          <w:sz w:val="30"/>
          <w:szCs w:val="30"/>
        </w:rPr>
        <w:t>, </w:t>
      </w:r>
      <w:hyperlink r:id="rId20" w:anchor="dst486" w:history="1">
        <w:r>
          <w:rPr>
            <w:rStyle w:val="a4"/>
            <w:color w:val="1A0DAB"/>
            <w:sz w:val="30"/>
            <w:szCs w:val="30"/>
          </w:rPr>
          <w:t>45 части 1 статьи 26</w:t>
        </w:r>
      </w:hyperlink>
      <w:r>
        <w:rPr>
          <w:color w:val="000000"/>
          <w:sz w:val="30"/>
          <w:szCs w:val="30"/>
        </w:rPr>
        <w:t xml:space="preserve"> Закона N 218-ФЗ оснований для приостановления государственного кадастрового учета и (или) государственной регистрации прав, наличия правоустанавливающих или </w:t>
      </w:r>
      <w:proofErr w:type="spellStart"/>
      <w:r>
        <w:rPr>
          <w:color w:val="000000"/>
          <w:sz w:val="30"/>
          <w:szCs w:val="30"/>
        </w:rPr>
        <w:t>правоудостоверяющих</w:t>
      </w:r>
      <w:proofErr w:type="spellEnd"/>
      <w:r>
        <w:rPr>
          <w:color w:val="000000"/>
          <w:sz w:val="30"/>
          <w:szCs w:val="30"/>
        </w:rPr>
        <w:t xml:space="preserve"> документов на земельный участок и соответствия:</w:t>
      </w:r>
    </w:p>
    <w:p w14:paraId="21344658" w14:textId="77777777" w:rsidR="003E07F4" w:rsidRDefault="003E07F4" w:rsidP="003E07F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1) ограничениям, установленным в зонах с особыми условиями использования территорий, сведения о которых внесены в Единый государственный реестр недвижимости (далее - ЕГРН) и (или) </w:t>
      </w:r>
      <w:proofErr w:type="gramStart"/>
      <w:r>
        <w:rPr>
          <w:color w:val="000000"/>
          <w:sz w:val="30"/>
          <w:szCs w:val="30"/>
        </w:rPr>
        <w:t>сведения</w:t>
      </w:r>
      <w:proofErr w:type="gramEnd"/>
      <w:r>
        <w:rPr>
          <w:color w:val="000000"/>
          <w:sz w:val="30"/>
          <w:szCs w:val="30"/>
        </w:rPr>
        <w:t xml:space="preserve"> о которых содержатся в документе, устанавливающем или удостоверяющем право на земельный участок, в границах которого расположено соответствующее здание;</w:t>
      </w:r>
    </w:p>
    <w:p w14:paraId="6D7B6659" w14:textId="77777777" w:rsidR="003E07F4" w:rsidRDefault="003E07F4" w:rsidP="003E07F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предельным параметрам соответствующих объектов недвижимости, установленным федеральным законом и правилами землепользования и застройки, за исключением соответствия минимальным отступам от границ земельных участков в целях определения мест допустимого размещения зданий, сооружений, за пределами которых запрещено строительство зданий, сооружений.</w:t>
      </w:r>
    </w:p>
    <w:p w14:paraId="32125001" w14:textId="77777777" w:rsidR="003E07F4" w:rsidRDefault="003E07F4" w:rsidP="003E07F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при проведении органом регистрации прав правовой экспертизы в отношении документов, представленных для осуществления государственного кадастрового учета и государственной регистрации прав в рамках "дачной амнистии", государственным регистратором прав должна проводиться проверка на соответствие ограничениям, установленным в зонах с особыми условиями использования территорий, сведения о которых внесены в ЕГРН и (или) сведения о которых содержатся в документе, устанавливающем или удостоверяющем право на земельный участок, в границах которого расположено соответствующее здание; в случае несоблюдения таких ограничений при строительстве соответствующего жилого или садового дома учетно-регистрационные действия должны быть приостановлены.</w:t>
      </w:r>
    </w:p>
    <w:p w14:paraId="039410F5" w14:textId="77777777" w:rsidR="003E07F4" w:rsidRDefault="003E07F4" w:rsidP="003E07F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Вместе с тем, учитывая ограничения, установленные </w:t>
      </w:r>
      <w:hyperlink r:id="rId21" w:anchor="dst15" w:history="1">
        <w:r>
          <w:rPr>
            <w:rStyle w:val="a4"/>
            <w:color w:val="1A0DAB"/>
            <w:sz w:val="30"/>
            <w:szCs w:val="30"/>
          </w:rPr>
          <w:t>пунктом 10</w:t>
        </w:r>
      </w:hyperlink>
      <w:r>
        <w:rPr>
          <w:color w:val="000000"/>
          <w:sz w:val="30"/>
          <w:szCs w:val="30"/>
        </w:rPr>
        <w:t xml:space="preserve"> Правил, на наш взгляд, у государственного регистратора прав отсутствует возможность самостоятельно из представленных для осуществления учетно-регистрационных действий документов установить факт соответствия (несоответствия) построенного здания (жилого или садового дома) таким ограничениям. При этом представление документа, подтверждающего соответствие такого здания </w:t>
      </w:r>
      <w:r>
        <w:rPr>
          <w:color w:val="000000"/>
          <w:sz w:val="30"/>
          <w:szCs w:val="30"/>
        </w:rPr>
        <w:lastRenderedPageBreak/>
        <w:t>установленным параметрам в границах зоны с особыми условиями использования территории, </w:t>
      </w:r>
      <w:hyperlink r:id="rId22" w:history="1">
        <w:r>
          <w:rPr>
            <w:rStyle w:val="a4"/>
            <w:color w:val="1A0DAB"/>
            <w:sz w:val="30"/>
            <w:szCs w:val="30"/>
          </w:rPr>
          <w:t>Законом</w:t>
        </w:r>
      </w:hyperlink>
      <w:r>
        <w:rPr>
          <w:color w:val="000000"/>
          <w:sz w:val="30"/>
          <w:szCs w:val="30"/>
        </w:rPr>
        <w:t> N 218-ФЗ не предусмотрено.</w:t>
      </w:r>
    </w:p>
    <w:p w14:paraId="625B2B44" w14:textId="77777777" w:rsidR="003E07F4" w:rsidRDefault="003E07F4" w:rsidP="003E07F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силу </w:t>
      </w:r>
      <w:hyperlink r:id="rId23" w:anchor="dst100663" w:history="1">
        <w:r>
          <w:rPr>
            <w:rStyle w:val="a4"/>
            <w:color w:val="1A0DAB"/>
            <w:sz w:val="30"/>
            <w:szCs w:val="30"/>
          </w:rPr>
          <w:t>пункта 218</w:t>
        </w:r>
      </w:hyperlink>
      <w:r>
        <w:rPr>
          <w:color w:val="000000"/>
          <w:sz w:val="30"/>
          <w:szCs w:val="30"/>
        </w:rPr>
        <w:t> Административного регламента Федеральной службы государственной регистрации, кадастра и картографии по предоставлению государственной услуги по государственному кадастровому учету и (или) государственной регистрации прав на недвижимое имущество, утвержденного действующим в настоящее время приказом Минэкономразвития России от 07.06.2017 N 278, при проведении правовой экспертизы представленных документов государственный регистратор прав вправе, а при выявлении причин, препятствующих государственному кадастровому учету и (или) государственной регистрации прав, предусмотренных </w:t>
      </w:r>
      <w:hyperlink r:id="rId24" w:anchor="dst889" w:history="1">
        <w:r>
          <w:rPr>
            <w:rStyle w:val="a4"/>
            <w:color w:val="1A0DAB"/>
            <w:sz w:val="30"/>
            <w:szCs w:val="30"/>
          </w:rPr>
          <w:t>пунктом 6 части 1 статьи 26</w:t>
        </w:r>
      </w:hyperlink>
      <w:r>
        <w:rPr>
          <w:color w:val="000000"/>
          <w:sz w:val="30"/>
          <w:szCs w:val="30"/>
        </w:rPr>
        <w:t> Закона N 218-ФЗ, обязан принять меры по получению дополнительных документов (сведений), необходимых для осуществления государственного кадастрового учета и (или) государственной регистрации прав, в частности формирует и направляет в органы государственной власти и (или) органы местного самоуправления, организации (органы) по учету объектов недвижимости, органы по учету государственного и муниципального имущества, другие органы и организации, располагающие сведениями (документами), необходимыми для государственного кадастрового учета и (или) государственной регистрации прав, запросы для получения недостающих или проверки.</w:t>
      </w:r>
    </w:p>
    <w:p w14:paraId="5E97CC9B" w14:textId="77777777" w:rsidR="003E07F4" w:rsidRDefault="003E07F4" w:rsidP="003E07F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этой связи, на наш взгляд:</w:t>
      </w:r>
    </w:p>
    <w:p w14:paraId="00914EA6" w14:textId="77777777" w:rsidR="003E07F4" w:rsidRDefault="003E07F4" w:rsidP="003E07F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проверка на соответствие параметров жилого или садового дома ограничениям, установленным в охранной зоне объекта электросетевого хозяйства, должна проводиться государственным регистратором прав при наличии сведений о такой зоне в ЕГРН и (или) в документе, устанавливающем или удостоверяющем право на земельный участок, и при отсутствии предусмотренного действовавшей до 01.09.2023 редакцией </w:t>
      </w:r>
      <w:hyperlink r:id="rId25" w:anchor="dst15" w:history="1">
        <w:r>
          <w:rPr>
            <w:rStyle w:val="a4"/>
            <w:color w:val="1A0DAB"/>
            <w:sz w:val="30"/>
            <w:szCs w:val="30"/>
          </w:rPr>
          <w:t>пункта 10</w:t>
        </w:r>
      </w:hyperlink>
      <w:r>
        <w:rPr>
          <w:color w:val="000000"/>
          <w:sz w:val="30"/>
          <w:szCs w:val="30"/>
        </w:rPr>
        <w:t> Правил согласования сетевой организации строительства соответствующего объекта;</w:t>
      </w:r>
    </w:p>
    <w:p w14:paraId="6182DED7" w14:textId="77777777" w:rsidR="003E07F4" w:rsidRDefault="003E07F4" w:rsidP="003E07F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вопрос о соответствии параметров жилого или садового дома, заявленного к осуществлению учетно-регистрационных действий в рамках "дачной амнистии", ограничениям, установленным в охранной зоне объекта электросетевого хозяйства, может быть разрешен путем получения государственным регистратором прав соответствующей информации от сетевой организации (организации, которая владеет соответствующим объектом электросетевого хозяйства на праве </w:t>
      </w:r>
      <w:r>
        <w:rPr>
          <w:color w:val="000000"/>
          <w:sz w:val="30"/>
          <w:szCs w:val="30"/>
        </w:rPr>
        <w:lastRenderedPageBreak/>
        <w:t>собственности или ином законном основании) либо от органа власти соответствующего субъекта Российской Федерации на направленный в рамках рассмотрения документов запрос;</w:t>
      </w:r>
    </w:p>
    <w:p w14:paraId="74ABC235" w14:textId="77777777" w:rsidR="003E07F4" w:rsidRDefault="003E07F4" w:rsidP="003E07F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 наличии пересечения контура жилого или садового дома с границей охранной зоны объекта электросетевого хозяйства, сведения о которой внесены в ЕГРН, учетно-регистрационные действия в отношении такого жилого или садового дома должны быть приостановлены.</w:t>
      </w:r>
    </w:p>
    <w:p w14:paraId="7C466A54" w14:textId="77777777" w:rsidR="003E07F4" w:rsidRDefault="003E07F4" w:rsidP="003E07F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Руководителям, исполняющим обязанности руководителей территориальных органов Росреестра, </w:t>
      </w:r>
      <w:proofErr w:type="spellStart"/>
      <w:r>
        <w:rPr>
          <w:color w:val="000000"/>
          <w:sz w:val="30"/>
          <w:szCs w:val="30"/>
        </w:rPr>
        <w:t>Госкомрегистра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Севреестра</w:t>
      </w:r>
      <w:proofErr w:type="spellEnd"/>
      <w:r>
        <w:rPr>
          <w:color w:val="000000"/>
          <w:sz w:val="30"/>
          <w:szCs w:val="30"/>
        </w:rPr>
        <w:t xml:space="preserve"> необходимо обеспечить доведение до сведения государственных регистраторов прав соответствующей информации.</w:t>
      </w:r>
    </w:p>
    <w:p w14:paraId="254BC0EE" w14:textId="77777777" w:rsidR="003E07F4" w:rsidRDefault="003E07F4" w:rsidP="003E07F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</w:p>
    <w:p w14:paraId="346A1B1E" w14:textId="77777777" w:rsidR="003E07F4" w:rsidRDefault="003E07F4" w:rsidP="003E07F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Т.А.ГРОМОВА</w:t>
      </w:r>
    </w:p>
    <w:p w14:paraId="3FD403F2" w14:textId="77777777" w:rsidR="00207E35" w:rsidRDefault="00207E35" w:rsidP="003E07F4">
      <w:pPr>
        <w:jc w:val="both"/>
      </w:pPr>
    </w:p>
    <w:sectPr w:rsidR="0020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F4"/>
    <w:rsid w:val="00207E35"/>
    <w:rsid w:val="003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3C6D"/>
  <w15:chartTrackingRefBased/>
  <w15:docId w15:val="{48E1EFFB-F353-4175-AC70-77A1BE29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3E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E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3E07F4"/>
    <w:rPr>
      <w:color w:val="0000FF"/>
      <w:u w:val="single"/>
    </w:rPr>
  </w:style>
  <w:style w:type="paragraph" w:customStyle="1" w:styleId="alignright">
    <w:name w:val="align_right"/>
    <w:basedOn w:val="a"/>
    <w:rsid w:val="003E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0040/aec996e2d81cfc470e7bb25a5d57100b8a3cd106/" TargetMode="External"/><Relationship Id="rId13" Type="http://schemas.openxmlformats.org/officeDocument/2006/relationships/hyperlink" Target="https://www.consultant.ru/document/cons_doc_LAW_460040/f10dc2166d2e834a0086658226e2f96fb5f1cb5f/" TargetMode="External"/><Relationship Id="rId18" Type="http://schemas.openxmlformats.org/officeDocument/2006/relationships/hyperlink" Target="https://www.consultant.ru/document/cons_doc_LAW_460040/f10dc2166d2e834a0086658226e2f96fb5f1cb5f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440246/e8486d3a2af306f57be6dcefc0171e4ee5d33d26/" TargetMode="External"/><Relationship Id="rId7" Type="http://schemas.openxmlformats.org/officeDocument/2006/relationships/hyperlink" Target="https://www.consultant.ru/document/cons_doc_LAW_440246/e8486d3a2af306f57be6dcefc0171e4ee5d33d26/" TargetMode="External"/><Relationship Id="rId12" Type="http://schemas.openxmlformats.org/officeDocument/2006/relationships/hyperlink" Target="https://www.consultant.ru/document/cons_doc_LAW_460040/f10dc2166d2e834a0086658226e2f96fb5f1cb5f/" TargetMode="External"/><Relationship Id="rId17" Type="http://schemas.openxmlformats.org/officeDocument/2006/relationships/hyperlink" Target="https://www.consultant.ru/document/cons_doc_LAW_460040/f10dc2166d2e834a0086658226e2f96fb5f1cb5f/" TargetMode="External"/><Relationship Id="rId25" Type="http://schemas.openxmlformats.org/officeDocument/2006/relationships/hyperlink" Target="https://www.consultant.ru/document/cons_doc_LAW_440246/e8486d3a2af306f57be6dcefc0171e4ee5d33d2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60040/f10dc2166d2e834a0086658226e2f96fb5f1cb5f/" TargetMode="External"/><Relationship Id="rId20" Type="http://schemas.openxmlformats.org/officeDocument/2006/relationships/hyperlink" Target="https://www.consultant.ru/document/cons_doc_LAW_460040/f10dc2166d2e834a0086658226e2f96fb5f1cb5f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0246/e8486d3a2af306f57be6dcefc0171e4ee5d33d26/" TargetMode="External"/><Relationship Id="rId11" Type="http://schemas.openxmlformats.org/officeDocument/2006/relationships/hyperlink" Target="https://www.consultant.ru/document/cons_doc_LAW_460040/aec996e2d81cfc470e7bb25a5d57100b8a3cd106/" TargetMode="External"/><Relationship Id="rId24" Type="http://schemas.openxmlformats.org/officeDocument/2006/relationships/hyperlink" Target="https://www.consultant.ru/document/cons_doc_LAW_460040/f10dc2166d2e834a0086658226e2f96fb5f1cb5f/" TargetMode="External"/><Relationship Id="rId5" Type="http://schemas.openxmlformats.org/officeDocument/2006/relationships/hyperlink" Target="https://www.consultant.ru/document/cons_doc_LAW_440172/" TargetMode="External"/><Relationship Id="rId15" Type="http://schemas.openxmlformats.org/officeDocument/2006/relationships/hyperlink" Target="https://www.consultant.ru/document/cons_doc_LAW_460040/f10dc2166d2e834a0086658226e2f96fb5f1cb5f/" TargetMode="External"/><Relationship Id="rId23" Type="http://schemas.openxmlformats.org/officeDocument/2006/relationships/hyperlink" Target="https://www.consultant.ru/document/cons_doc_LAW_284080/53eeb4951a17a12a6cf88f6379cca046803dc21d/" TargetMode="External"/><Relationship Id="rId10" Type="http://schemas.openxmlformats.org/officeDocument/2006/relationships/hyperlink" Target="https://www.consultant.ru/document/cons_doc_LAW_460040/aec996e2d81cfc470e7bb25a5d57100b8a3cd106/" TargetMode="External"/><Relationship Id="rId19" Type="http://schemas.openxmlformats.org/officeDocument/2006/relationships/hyperlink" Target="https://www.consultant.ru/document/cons_doc_LAW_460040/f10dc2166d2e834a0086658226e2f96fb5f1cb5f/" TargetMode="External"/><Relationship Id="rId4" Type="http://schemas.openxmlformats.org/officeDocument/2006/relationships/hyperlink" Target="https://www.consultant.ru/document/cons_doc_LAW_440172/" TargetMode="External"/><Relationship Id="rId9" Type="http://schemas.openxmlformats.org/officeDocument/2006/relationships/hyperlink" Target="https://www.consultant.ru/document/cons_doc_LAW_460040/aec996e2d81cfc470e7bb25a5d57100b8a3cd106/" TargetMode="External"/><Relationship Id="rId14" Type="http://schemas.openxmlformats.org/officeDocument/2006/relationships/hyperlink" Target="https://www.consultant.ru/document/cons_doc_LAW_460040/f10dc2166d2e834a0086658226e2f96fb5f1cb5f/" TargetMode="External"/><Relationship Id="rId22" Type="http://schemas.openxmlformats.org/officeDocument/2006/relationships/hyperlink" Target="https://www.consultant.ru/document/cons_doc_LAW_46004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1473</Words>
  <Characters>8399</Characters>
  <Application>Microsoft Office Word</Application>
  <DocSecurity>0</DocSecurity>
  <Lines>69</Lines>
  <Paragraphs>19</Paragraphs>
  <ScaleCrop>false</ScaleCrop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Соколова</dc:creator>
  <cp:keywords/>
  <dc:description/>
  <cp:lastModifiedBy>Наталья Соколова</cp:lastModifiedBy>
  <cp:revision>1</cp:revision>
  <dcterms:created xsi:type="dcterms:W3CDTF">2024-01-23T18:23:00Z</dcterms:created>
  <dcterms:modified xsi:type="dcterms:W3CDTF">2024-01-23T18:26:00Z</dcterms:modified>
</cp:coreProperties>
</file>