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2E" w14:textId="77777777" w:rsidR="00722E95" w:rsidRPr="00DB558D" w:rsidRDefault="00722E95">
      <w:pPr>
        <w:pStyle w:val="ConsPlusNormal"/>
        <w:jc w:val="both"/>
        <w:outlineLvl w:val="0"/>
      </w:pPr>
      <w:bookmarkStart w:id="0" w:name="_GoBack"/>
      <w:bookmarkEnd w:id="0"/>
    </w:p>
    <w:p w14:paraId="1CF79F0C" w14:textId="77777777" w:rsidR="00722E95" w:rsidRPr="00DB558D" w:rsidRDefault="00722E95">
      <w:pPr>
        <w:pStyle w:val="ConsPlusTitle"/>
        <w:jc w:val="center"/>
      </w:pPr>
      <w:r w:rsidRPr="00DB558D">
        <w:t>ФЕДЕРАЛЬНАЯ СЛУЖБА ГОСУДАРСТВЕННОЙ РЕГИСТРАЦИИ,</w:t>
      </w:r>
    </w:p>
    <w:p w14:paraId="629D5E68" w14:textId="77777777" w:rsidR="00722E95" w:rsidRPr="00DB558D" w:rsidRDefault="00722E95">
      <w:pPr>
        <w:pStyle w:val="ConsPlusTitle"/>
        <w:jc w:val="center"/>
      </w:pPr>
      <w:r w:rsidRPr="00DB558D">
        <w:t>КАДАСТРА И КАРТОГРАФИИ</w:t>
      </w:r>
    </w:p>
    <w:p w14:paraId="4A3BADD2" w14:textId="77777777" w:rsidR="00722E95" w:rsidRPr="00DB558D" w:rsidRDefault="00722E95">
      <w:pPr>
        <w:pStyle w:val="ConsPlusTitle"/>
        <w:jc w:val="center"/>
      </w:pPr>
    </w:p>
    <w:p w14:paraId="6E883CA9" w14:textId="77777777" w:rsidR="00722E95" w:rsidRPr="00DB558D" w:rsidRDefault="00722E95">
      <w:pPr>
        <w:pStyle w:val="ConsPlusTitle"/>
        <w:jc w:val="center"/>
      </w:pPr>
      <w:r w:rsidRPr="00DB558D">
        <w:t>ПИСЬМО</w:t>
      </w:r>
    </w:p>
    <w:p w14:paraId="7B8C0465" w14:textId="77777777" w:rsidR="00722E95" w:rsidRPr="00DB558D" w:rsidRDefault="00722E95">
      <w:pPr>
        <w:pStyle w:val="ConsPlusTitle"/>
        <w:jc w:val="center"/>
      </w:pPr>
      <w:r w:rsidRPr="00DB558D">
        <w:t>от 13 мая 2021 г. N 14-3555-ГЕ/21</w:t>
      </w:r>
    </w:p>
    <w:p w14:paraId="45919133" w14:textId="77777777" w:rsidR="00722E95" w:rsidRPr="00DB558D" w:rsidRDefault="00722E95">
      <w:pPr>
        <w:pStyle w:val="ConsPlusNormal"/>
        <w:jc w:val="both"/>
      </w:pPr>
    </w:p>
    <w:p w14:paraId="7C7C2AC3" w14:textId="77777777" w:rsidR="00722E95" w:rsidRPr="00DB558D" w:rsidRDefault="00722E95">
      <w:pPr>
        <w:pStyle w:val="ConsPlusNormal"/>
        <w:ind w:firstLine="540"/>
        <w:jc w:val="both"/>
      </w:pPr>
      <w:r w:rsidRPr="00DB558D">
        <w:t>Федеральная служба государственной регистрации, кадастра и картографии, учитывая, что на официальном интернет-портале правовой информации (http://www.pravo.gov.ru) 30.04.2021 опубликован Федеральный закон от 30.04.2021 N 120-ФЗ "О внесении изменений в Федеральный закон "О государственной регистрации недвижимости" и отдельные законодательные акты Российской Федерации" (далее - Закон), который вступил в силу 30.04.2021 (за исключением отдельных положений), обращает внимание на следующее.</w:t>
      </w:r>
    </w:p>
    <w:p w14:paraId="428187DB" w14:textId="77777777" w:rsidR="00722E95" w:rsidRPr="00DB558D" w:rsidRDefault="00722E95">
      <w:pPr>
        <w:pStyle w:val="ConsPlusNormal"/>
        <w:spacing w:before="240"/>
        <w:ind w:firstLine="540"/>
        <w:jc w:val="both"/>
      </w:pPr>
      <w:r w:rsidRPr="00DB558D">
        <w:t>1. С 30.04.2021 вступили в силу изменения, внесенные в том числе:</w:t>
      </w:r>
    </w:p>
    <w:p w14:paraId="7E45B0B3" w14:textId="77777777" w:rsidR="00722E95" w:rsidRPr="00DB558D" w:rsidRDefault="00722E95">
      <w:pPr>
        <w:pStyle w:val="ConsPlusNormal"/>
        <w:spacing w:before="240"/>
        <w:ind w:firstLine="540"/>
        <w:jc w:val="both"/>
      </w:pPr>
      <w:r w:rsidRPr="00DB558D">
        <w:t>1) в Федеральный закон от 13.07.2015 N 218-ФЗ "О государственной регистрации недвижимости" (далее - Закон N 218-ФЗ), в частности:</w:t>
      </w:r>
    </w:p>
    <w:p w14:paraId="5298C28E" w14:textId="77777777" w:rsidR="00722E95" w:rsidRPr="00DB558D" w:rsidRDefault="00722E95">
      <w:pPr>
        <w:pStyle w:val="ConsPlusNormal"/>
        <w:spacing w:before="240"/>
        <w:ind w:firstLine="540"/>
        <w:jc w:val="both"/>
      </w:pPr>
      <w:r w:rsidRPr="00DB558D">
        <w:t>Закон N 218-ФЗ дополнен статьей 3.1, которой определены отдельные полномочия в сфере государственного кадастрового учета и государственной регистрации прав федерального государственного бюджетного учреждения, подведомственного федеральному органу исполнительной власти, указанному в части 1 статьи 3 Закона N 218-ФЗ;</w:t>
      </w:r>
    </w:p>
    <w:p w14:paraId="496CA16B" w14:textId="77777777" w:rsidR="00722E95" w:rsidRPr="00DB558D" w:rsidRDefault="00722E95">
      <w:pPr>
        <w:pStyle w:val="ConsPlusNormal"/>
        <w:spacing w:before="240"/>
        <w:ind w:firstLine="540"/>
        <w:jc w:val="both"/>
      </w:pPr>
      <w:r w:rsidRPr="00DB558D">
        <w:t>в статье 15 расширен круг лиц, которые могут обращаться с заявлениями об осуществлении государственного кадастрового учета и (или) государственной регистрации прав;</w:t>
      </w:r>
    </w:p>
    <w:p w14:paraId="67796BEC" w14:textId="77777777" w:rsidR="00722E95" w:rsidRPr="00DB558D" w:rsidRDefault="00722E95">
      <w:pPr>
        <w:pStyle w:val="ConsPlusNormal"/>
        <w:spacing w:before="240"/>
        <w:ind w:firstLine="540"/>
        <w:jc w:val="both"/>
      </w:pPr>
      <w:r w:rsidRPr="00DB558D">
        <w:t>статья 19 дополнена частью 2.1, предусматривающей, что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части 2 данной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w:t>
      </w:r>
    </w:p>
    <w:p w14:paraId="382E25B6" w14:textId="77777777" w:rsidR="00722E95" w:rsidRPr="00DB558D" w:rsidRDefault="00722E95">
      <w:pPr>
        <w:pStyle w:val="ConsPlusNormal"/>
        <w:spacing w:before="240"/>
        <w:ind w:firstLine="540"/>
        <w:jc w:val="both"/>
      </w:pPr>
      <w:r w:rsidRPr="00DB558D">
        <w:t>статья 27 дополнена частью 2, согласно которой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Законе N 218-ФЗ)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w:t>
      </w:r>
    </w:p>
    <w:p w14:paraId="5D697CF3" w14:textId="77777777" w:rsidR="00722E95" w:rsidRPr="00DB558D" w:rsidRDefault="00722E95">
      <w:pPr>
        <w:pStyle w:val="ConsPlusNormal"/>
        <w:spacing w:before="240"/>
        <w:ind w:firstLine="540"/>
        <w:jc w:val="both"/>
      </w:pPr>
      <w:r w:rsidRPr="00DB558D">
        <w:t>часть 18 статьи 29 дополнена указанием на то, что выписка из Единого государственного реестра недвижимости (далее - ЕГРН),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многофункциональным центром предоставления государственных и муниципальных услуг (далее - МФЦ) в форме документа на бумажном носителе, составленного МФЦ и подтверждающего содержание электронного документа, направленного в МФЦ по результатам предоставления государственной услуги органом регистрации прав;</w:t>
      </w:r>
    </w:p>
    <w:p w14:paraId="32EB5B35" w14:textId="77777777" w:rsidR="00722E95" w:rsidRPr="00DB558D" w:rsidRDefault="00722E95">
      <w:pPr>
        <w:pStyle w:val="ConsPlusNormal"/>
        <w:spacing w:before="240"/>
        <w:ind w:firstLine="540"/>
        <w:jc w:val="both"/>
      </w:pPr>
      <w:r w:rsidRPr="00DB558D">
        <w:t xml:space="preserve">статья 32 дополнена частью 13.1, согласно которой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w:t>
      </w:r>
      <w:r w:rsidRPr="00DB558D">
        <w:lastRenderedPageBreak/>
        <w:t>рабочих дней со дня принятия такого решения заверенную копию соответствующего решения в целях погашения в ЕГРН записи об аресте имущества должника или гражданина;</w:t>
      </w:r>
    </w:p>
    <w:p w14:paraId="0A16CD6F" w14:textId="77777777" w:rsidR="00722E95" w:rsidRPr="00DB558D" w:rsidRDefault="00722E95">
      <w:pPr>
        <w:pStyle w:val="ConsPlusNormal"/>
        <w:spacing w:before="240"/>
        <w:ind w:firstLine="540"/>
        <w:jc w:val="both"/>
      </w:pPr>
      <w:r w:rsidRPr="00DB558D">
        <w:t>часть 2 статьи 34 дополнена положениями, расширившими перечень оснований для направления органом регистрации прав уведомления о невозможности внесения сведений в ЕГРН, поступивших в порядке межведомственного информационного взаимодействия;</w:t>
      </w:r>
    </w:p>
    <w:p w14:paraId="27D3D240" w14:textId="77777777" w:rsidR="00722E95" w:rsidRPr="00DB558D" w:rsidRDefault="00722E95">
      <w:pPr>
        <w:pStyle w:val="ConsPlusNormal"/>
        <w:spacing w:before="240"/>
        <w:ind w:firstLine="540"/>
        <w:jc w:val="both"/>
      </w:pPr>
      <w:r w:rsidRPr="00DB558D">
        <w:t>внесены изменения в статьи 40 - 41, уточняющие особенности учетно-регистрационных действий в отношении отдельных видов недвижимого имущества (на гидротехнические сооружения, строительство этапами), в том числе статья 40 дополнена частью 2.1, предусматривающей, что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учетно-регистрационных действий является действующим, статья 41 дополнена частями 18 - 19, определяющими особенности снятия с учета земельных участков при перераспределении земель и (или) земельных участков;</w:t>
      </w:r>
    </w:p>
    <w:p w14:paraId="04359A33" w14:textId="77777777" w:rsidR="00722E95" w:rsidRPr="00DB558D" w:rsidRDefault="00722E95">
      <w:pPr>
        <w:pStyle w:val="ConsPlusNormal"/>
        <w:spacing w:before="240"/>
        <w:ind w:firstLine="540"/>
        <w:jc w:val="both"/>
      </w:pPr>
      <w:r w:rsidRPr="00DB558D">
        <w:t>внесены изменения в статью 42, предусматривающую случаи, в которых обязательное нотариальное удостоверение сделок по отчуждению долей в праве общей собственности на недвижимое имущество не требуется, в частности, если предметом сделки является доля в праве общей собственности на земельный участок из земель сельскохозяйственного назначения, то такие сделки не требуют нотариального удостоверения, кроме того, предусмотрено исключение необходимости нотариального удостоверения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14:paraId="17694BCE" w14:textId="77777777" w:rsidR="00722E95" w:rsidRPr="00DB558D" w:rsidRDefault="00722E95">
      <w:pPr>
        <w:pStyle w:val="ConsPlusNormal"/>
        <w:spacing w:before="240"/>
        <w:ind w:firstLine="540"/>
        <w:jc w:val="both"/>
      </w:pPr>
      <w:r w:rsidRPr="00DB558D">
        <w:t>часть 2 статьи 44 дополнена положением, согласно которому в случае, если в ЕГРН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 кроме того, предусматривается возможность осуществления государственной регистрации договора аренды части земельного участка, здания, сооружения, помещения или машино-места без осуществления государственного кадастрового учета такой части и представления межевого/технического плана;</w:t>
      </w:r>
    </w:p>
    <w:p w14:paraId="3D8DD6EF" w14:textId="77777777" w:rsidR="00722E95" w:rsidRPr="00DB558D" w:rsidRDefault="00722E95">
      <w:pPr>
        <w:pStyle w:val="ConsPlusNormal"/>
        <w:spacing w:before="240"/>
        <w:ind w:firstLine="540"/>
        <w:jc w:val="both"/>
      </w:pPr>
      <w:r w:rsidRPr="00DB558D">
        <w:t>статья 48 дополнена нормами, устанавливающими пределы правовой экспертизы при осуществлении государственной регистрации договоров участия в долевом строительстве многоквартирного дома или иного объекта недвижимости -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или плане создаваемого многоквартирного дома, сведениям, указанным в проектной документации, органом регистрации прав не осуществляется;</w:t>
      </w:r>
    </w:p>
    <w:p w14:paraId="057B520A" w14:textId="77777777" w:rsidR="00722E95" w:rsidRPr="00DB558D" w:rsidRDefault="00722E95">
      <w:pPr>
        <w:pStyle w:val="ConsPlusNormal"/>
        <w:spacing w:before="240"/>
        <w:ind w:firstLine="540"/>
        <w:jc w:val="both"/>
      </w:pPr>
      <w:r w:rsidRPr="00DB558D">
        <w:t>в части 9 статьи 51 уточнено, что правила, предусмотренные частью 1 данной статьи, помимо объектов культурного наследия применяются также к иным объектам недвижимого имущества, безвозмездное пользование (ссуда) которым подлежит государственной регистрации в соответствии с федеральным законом;</w:t>
      </w:r>
    </w:p>
    <w:p w14:paraId="6706FA7C" w14:textId="77777777" w:rsidR="00722E95" w:rsidRPr="00DB558D" w:rsidRDefault="00722E95">
      <w:pPr>
        <w:pStyle w:val="ConsPlusNormal"/>
        <w:spacing w:before="240"/>
        <w:ind w:firstLine="540"/>
        <w:jc w:val="both"/>
      </w:pPr>
      <w:r w:rsidRPr="00DB558D">
        <w:t xml:space="preserve">внесены изменения в часть 1 статьи 58, уточняющие особенности осуществления государственного кадастрового учета и (или) государственной регистрации прав на недвижимое имущество на основании решения суда. Также статья 58 дополнена нормами, согласно которым, в частности, если необходимость осуществления государственного кадастрового учета установлена </w:t>
      </w:r>
      <w:r w:rsidRPr="00DB558D">
        <w:lastRenderedPageBreak/>
        <w:t>решением суда и такое решение суда содержит необходимые для внесения в ЕГРН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объекта капитального строительства на земельном участке,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 объект подлежит снятию с государственного кадастрового учета с одновременной государственной регистрацией прекращения прав на него (если права были зарегистрированы) в случае, если вступившим в законную силу решением суда установлено, что такой объект, сведения о котором содержатся в ЕГРН, не является недвижимостью, при этом подготовка каких-либо иных документов для осуществления органом регистрации прав указанных действий не требуется;</w:t>
      </w:r>
    </w:p>
    <w:p w14:paraId="11C45160" w14:textId="77777777" w:rsidR="00722E95" w:rsidRPr="00DB558D" w:rsidRDefault="00722E95">
      <w:pPr>
        <w:pStyle w:val="ConsPlusNormal"/>
        <w:spacing w:before="240"/>
        <w:ind w:firstLine="540"/>
        <w:jc w:val="both"/>
      </w:pPr>
      <w:r w:rsidRPr="00DB558D">
        <w:t>статья 60 дополнена частью 12, уточняющей порядок осуществления регистрационных действий при изъятии для государственных или муниципальных нужд одного или нескольких земельных участков, образованных на оснований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уполномоченного органа/организации;</w:t>
      </w:r>
    </w:p>
    <w:p w14:paraId="337279B0" w14:textId="77777777" w:rsidR="00722E95" w:rsidRPr="00DB558D" w:rsidRDefault="00722E95">
      <w:pPr>
        <w:pStyle w:val="ConsPlusNormal"/>
        <w:spacing w:before="240"/>
        <w:ind w:firstLine="540"/>
        <w:jc w:val="both"/>
      </w:pPr>
      <w:r w:rsidRPr="00DB558D">
        <w:t>внесены изменения в установленный статьей 62 порядок предоставления сведений, содержащихся в ЕГРН, в частности:</w:t>
      </w:r>
    </w:p>
    <w:p w14:paraId="49B3160D" w14:textId="77777777" w:rsidR="00722E95" w:rsidRPr="00DB558D" w:rsidRDefault="00722E95">
      <w:pPr>
        <w:pStyle w:val="ConsPlusNormal"/>
        <w:spacing w:before="240"/>
        <w:ind w:firstLine="540"/>
        <w:jc w:val="both"/>
      </w:pPr>
      <w:r w:rsidRPr="00DB558D">
        <w:t>- установлено, что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14:paraId="7661C4A4" w14:textId="77777777" w:rsidR="00722E95" w:rsidRPr="00DB558D" w:rsidRDefault="00722E95">
      <w:pPr>
        <w:pStyle w:val="ConsPlusNormal"/>
        <w:spacing w:before="240"/>
        <w:ind w:firstLine="540"/>
        <w:jc w:val="both"/>
      </w:pPr>
      <w:r w:rsidRPr="00DB558D">
        <w:t>- кардинально изменен порядок предоставления аналитической информации;</w:t>
      </w:r>
    </w:p>
    <w:p w14:paraId="1FC1B234" w14:textId="77777777" w:rsidR="00722E95" w:rsidRPr="00DB558D" w:rsidRDefault="00722E95">
      <w:pPr>
        <w:pStyle w:val="ConsPlusNormal"/>
        <w:spacing w:before="240"/>
        <w:ind w:firstLine="540"/>
        <w:jc w:val="both"/>
      </w:pPr>
      <w:r w:rsidRPr="00DB558D">
        <w:t>в статье 63 расширен перечень органов, уполномоченных получать сведения, содержащиеся в ЕГРН, бесплатно, в том числе к таковым отнесены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(районные, городские и другие) комиссии, участковые комиссии;</w:t>
      </w:r>
    </w:p>
    <w:p w14:paraId="64DE3AA6" w14:textId="77777777" w:rsidR="00722E95" w:rsidRPr="00DB558D" w:rsidRDefault="00722E95">
      <w:pPr>
        <w:pStyle w:val="ConsPlusNormal"/>
        <w:spacing w:before="240"/>
        <w:ind w:firstLine="540"/>
        <w:jc w:val="both"/>
      </w:pPr>
      <w:r w:rsidRPr="00DB558D">
        <w:t>в статье 70 уточнены особенности осуществления государственного кадастрового учета и государственной регистрации прав на объекты недвижимости в отдельных случаях, в частности, устанавливаются особенности (включая условия возможности их применения) государственного кадастрового учета и (или) государственной регистрации прав на помещение (помещения) или машино-место (машино-места) в многоквартирном доме при отсутствии в ЕГРН сведений о таком многоквартирном доме. Статья 70 также дополнена иными положениями, в том числе устанавливающими, что:</w:t>
      </w:r>
    </w:p>
    <w:p w14:paraId="3C7CD044" w14:textId="77777777" w:rsidR="00722E95" w:rsidRPr="00DB558D" w:rsidRDefault="00722E95">
      <w:pPr>
        <w:pStyle w:val="ConsPlusNormal"/>
        <w:spacing w:before="240"/>
        <w:ind w:firstLine="540"/>
        <w:jc w:val="both"/>
      </w:pPr>
      <w:r w:rsidRPr="00DB558D">
        <w:t>- при внесении в ЕГРН сведений о здании с видом разрешенного использования "общежитие" в кадастре недвижимости указывается назначение такого здания - "нежилое" (часть 17);</w:t>
      </w:r>
    </w:p>
    <w:p w14:paraId="1B4E9201" w14:textId="77777777" w:rsidR="00722E95" w:rsidRPr="00DB558D" w:rsidRDefault="00722E95">
      <w:pPr>
        <w:pStyle w:val="ConsPlusNormal"/>
        <w:spacing w:before="240"/>
        <w:ind w:firstLine="540"/>
        <w:jc w:val="both"/>
      </w:pPr>
      <w:r w:rsidRPr="00DB558D">
        <w:t>- при наличии в ЕГРН сведений о виде разрешенного использования здания, сооружения или помещения либо при внесении в ЕГРН таких сведений, сведения о наименовании такого объекта недвижимости могут быть исключены из ЕГРН по заявлению собственника (часть 19);</w:t>
      </w:r>
    </w:p>
    <w:p w14:paraId="3043E6EA" w14:textId="77777777" w:rsidR="00722E95" w:rsidRPr="00DB558D" w:rsidRDefault="00722E95">
      <w:pPr>
        <w:pStyle w:val="ConsPlusNormal"/>
        <w:spacing w:before="240"/>
        <w:ind w:firstLine="540"/>
        <w:jc w:val="both"/>
      </w:pPr>
      <w:r w:rsidRPr="00DB558D">
        <w:t>- записи об объектах и правах на них, сведения о которых содержатся в ЕГРН, но которые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Законом N 218-ФЗ, исключаются из ЕГРН по заявлению собственника (обладателя иных вещных прав) такого объекта, или по заявлению собственника земельного участка, на котором расположен такой объект, если в ЕГРН права на указанный объект не зарегистрированы (часть 20);</w:t>
      </w:r>
    </w:p>
    <w:p w14:paraId="37FE5B7A" w14:textId="77777777" w:rsidR="00722E95" w:rsidRPr="00DB558D" w:rsidRDefault="00722E95">
      <w:pPr>
        <w:pStyle w:val="ConsPlusNormal"/>
        <w:spacing w:before="240"/>
        <w:ind w:firstLine="540"/>
        <w:jc w:val="both"/>
      </w:pPr>
      <w:r w:rsidRPr="00DB558D">
        <w:lastRenderedPageBreak/>
        <w:t>2) в Федеральный закон от 24.07.2007 N 221-ФЗ "О кадастровой деятельности" (далее - Закон N 221-ФЗ), в частности:</w:t>
      </w:r>
    </w:p>
    <w:p w14:paraId="34082133" w14:textId="77777777" w:rsidR="00722E95" w:rsidRPr="00DB558D" w:rsidRDefault="00722E95">
      <w:pPr>
        <w:pStyle w:val="ConsPlusNormal"/>
        <w:spacing w:before="240"/>
        <w:ind w:firstLine="540"/>
        <w:jc w:val="both"/>
      </w:pPr>
      <w:r w:rsidRPr="00DB558D">
        <w:t>из статьи 29.1 исключена обязанность кадастровых инженеров передавать на хранение в органы регистрации прав акты согласования местоположения границ земельных участков;</w:t>
      </w:r>
    </w:p>
    <w:p w14:paraId="36EE7F1D" w14:textId="77777777" w:rsidR="00722E95" w:rsidRPr="00DB558D" w:rsidRDefault="00722E95">
      <w:pPr>
        <w:pStyle w:val="ConsPlusNormal"/>
        <w:spacing w:before="240"/>
        <w:ind w:firstLine="540"/>
        <w:jc w:val="both"/>
      </w:pPr>
      <w:r w:rsidRPr="00DB558D">
        <w:t>статья 36 дополнена частью 2.1, согласно которой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статье 32 Закона N 221-ФЗ, или работника юридического лица, указанного в статье 33 Закона N 221-ФЗ, представлять без доверенности документы, подготовленные в результате выполнения кадастровых работ, в орган регистрации прав в порядке, установленном Законом N 218-ФЗ, в указанных в данной части случаях.</w:t>
      </w:r>
    </w:p>
    <w:p w14:paraId="768F505A" w14:textId="77777777" w:rsidR="00722E95" w:rsidRPr="00DB558D" w:rsidRDefault="00722E95">
      <w:pPr>
        <w:pStyle w:val="ConsPlusNormal"/>
        <w:spacing w:before="240"/>
        <w:ind w:firstLine="540"/>
        <w:jc w:val="both"/>
      </w:pPr>
      <w:r w:rsidRPr="00DB558D">
        <w:t>2. Учитывая проводимую работу по сокращению количества помещаемых на хранение в реестровые дела бумажных документов, также полагаем необходимым обратить внимание на следующие изменения, внесенные Законом в Закон N 218-ФЗ:</w:t>
      </w:r>
    </w:p>
    <w:p w14:paraId="730A7E35" w14:textId="77777777" w:rsidR="00722E95" w:rsidRPr="00DB558D" w:rsidRDefault="00722E95">
      <w:pPr>
        <w:pStyle w:val="ConsPlusNormal"/>
        <w:spacing w:before="240"/>
        <w:ind w:firstLine="540"/>
        <w:jc w:val="both"/>
      </w:pPr>
      <w:r w:rsidRPr="00DB558D">
        <w:t>1)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МФЦ, посредством почтового отправления:</w:t>
      </w:r>
    </w:p>
    <w:p w14:paraId="7498BEA5" w14:textId="77777777" w:rsidR="00722E95" w:rsidRPr="00DB558D" w:rsidRDefault="00722E95">
      <w:pPr>
        <w:pStyle w:val="ConsPlusNormal"/>
        <w:spacing w:before="240"/>
        <w:ind w:firstLine="540"/>
        <w:jc w:val="both"/>
      </w:pPr>
      <w:r w:rsidRPr="00DB558D">
        <w:t>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w:t>
      </w:r>
    </w:p>
    <w:p w14:paraId="22D6C8D6" w14:textId="77777777" w:rsidR="00722E95" w:rsidRPr="00DB558D" w:rsidRDefault="00722E95">
      <w:pPr>
        <w:pStyle w:val="ConsPlusNormal"/>
        <w:spacing w:before="240"/>
        <w:ind w:firstLine="540"/>
        <w:jc w:val="both"/>
      </w:pPr>
      <w:r w:rsidRPr="00DB558D">
        <w:t>созданные электронные образы документов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14:paraId="24E38E30" w14:textId="77777777" w:rsidR="00722E95" w:rsidRPr="00DB558D" w:rsidRDefault="00722E95">
      <w:pPr>
        <w:pStyle w:val="ConsPlusNormal"/>
        <w:spacing w:before="240"/>
        <w:ind w:firstLine="540"/>
        <w:jc w:val="both"/>
      </w:pPr>
      <w:r w:rsidRPr="00DB558D">
        <w:t>указанные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(вместе с иными подлежащими выдаче документами направляются почтовым отправлением или передаются органом регистрации прав в МФЦ для возврата заявителю);</w:t>
      </w:r>
    </w:p>
    <w:p w14:paraId="48D2961D" w14:textId="77777777" w:rsidR="00722E95" w:rsidRPr="00DB558D" w:rsidRDefault="00722E95">
      <w:pPr>
        <w:pStyle w:val="ConsPlusNormal"/>
        <w:spacing w:before="240"/>
        <w:ind w:firstLine="540"/>
        <w:jc w:val="both"/>
      </w:pPr>
      <w:r w:rsidRPr="00DB558D">
        <w:t>если указанные документы не были получены заявителем в течение пяти дней со дня их передачи органом регистрации прав в МФЦ, указанные документы на бумажном носителе подлежат возврату в орган регистрации прав (часть 13 статьи 18 в редакции, вступившей в силу с 30.04.2021);</w:t>
      </w:r>
    </w:p>
    <w:p w14:paraId="51D5A5BC" w14:textId="77777777" w:rsidR="00722E95" w:rsidRPr="00DB558D" w:rsidRDefault="00722E95">
      <w:pPr>
        <w:pStyle w:val="ConsPlusNormal"/>
        <w:spacing w:before="240"/>
        <w:ind w:firstLine="540"/>
        <w:jc w:val="both"/>
      </w:pPr>
      <w:r w:rsidRPr="00DB558D">
        <w:t>2) согласно редакции, вступающей в силу с 28.10.2021:</w:t>
      </w:r>
    </w:p>
    <w:p w14:paraId="0C43F6EA" w14:textId="77777777" w:rsidR="00722E95" w:rsidRPr="00DB558D" w:rsidRDefault="00722E95">
      <w:pPr>
        <w:pStyle w:val="ConsPlusNormal"/>
        <w:spacing w:before="240"/>
        <w:ind w:firstLine="540"/>
        <w:jc w:val="both"/>
      </w:pPr>
      <w:r w:rsidRPr="00DB558D">
        <w:t>реестровые дела будут вестись только в электронной форме (статья 11);</w:t>
      </w:r>
    </w:p>
    <w:p w14:paraId="26642BC7" w14:textId="77777777" w:rsidR="00722E95" w:rsidRPr="00DB558D" w:rsidRDefault="00722E95">
      <w:pPr>
        <w:pStyle w:val="ConsPlusNormal"/>
        <w:spacing w:before="240"/>
        <w:ind w:firstLine="540"/>
        <w:jc w:val="both"/>
      </w:pPr>
      <w:r w:rsidRPr="00DB558D">
        <w:t>на бумажном носителе будут вестись только хранящиеся в реестровых делах (открытых до 01.01.2017 кадастровых делах, делах правоустанавливающих документов) заявления и иные документы в форме документов на бумажном носителе до перевода указанных документов в соответствии с Законом N 218-ФЗ в форму электронных документов (электронных образов документов). Такие реестровые дела не будут являться составной частью ЕГРН с момента перевода в соответствии с Законом N 218-ФЗ хранящихся в них документов в форму электронных документов (электронных образов документов), их дальнейшее ведение будет осуществляться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(часть 28 статьи 70).</w:t>
      </w:r>
    </w:p>
    <w:p w14:paraId="6BF030AE" w14:textId="77777777" w:rsidR="00722E95" w:rsidRPr="00DB558D" w:rsidRDefault="00722E95">
      <w:pPr>
        <w:pStyle w:val="ConsPlusNormal"/>
        <w:spacing w:before="240"/>
        <w:ind w:firstLine="540"/>
        <w:jc w:val="both"/>
      </w:pPr>
      <w:r w:rsidRPr="00DB558D">
        <w:lastRenderedPageBreak/>
        <w:t>Настоящее письмо также размещено на внутреннем интернет-портале Росреестра в разделе "Рассылки по вопросам государственной регистрации прав и кадастрового учета".</w:t>
      </w:r>
    </w:p>
    <w:p w14:paraId="788876AC" w14:textId="77777777" w:rsidR="00722E95" w:rsidRPr="00DB558D" w:rsidRDefault="00722E95">
      <w:pPr>
        <w:pStyle w:val="ConsPlusNormal"/>
        <w:jc w:val="both"/>
      </w:pPr>
    </w:p>
    <w:p w14:paraId="263DA13E" w14:textId="77777777" w:rsidR="00722E95" w:rsidRPr="00DB558D" w:rsidRDefault="00722E95">
      <w:pPr>
        <w:pStyle w:val="ConsPlusNormal"/>
        <w:jc w:val="right"/>
      </w:pPr>
      <w:r w:rsidRPr="00DB558D">
        <w:t>Г.Ю.ЕЛИЗАРОВА</w:t>
      </w:r>
    </w:p>
    <w:p w14:paraId="255F8BA3" w14:textId="77777777" w:rsidR="00722E95" w:rsidRPr="00DB558D" w:rsidRDefault="00722E95">
      <w:pPr>
        <w:pStyle w:val="ConsPlusNormal"/>
        <w:jc w:val="both"/>
      </w:pPr>
    </w:p>
    <w:p w14:paraId="5D7CA3F6" w14:textId="77777777" w:rsidR="00722E95" w:rsidRPr="00DB558D" w:rsidRDefault="00722E95">
      <w:pPr>
        <w:pStyle w:val="ConsPlusNormal"/>
        <w:jc w:val="both"/>
      </w:pPr>
    </w:p>
    <w:sectPr w:rsidR="00722E95" w:rsidRPr="00DB558D" w:rsidSect="003F3E7D">
      <w:pgSz w:w="11906" w:h="16838"/>
      <w:pgMar w:top="416" w:right="566" w:bottom="993"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9A51" w14:textId="77777777" w:rsidR="00B067FB" w:rsidRDefault="00B067FB">
      <w:pPr>
        <w:spacing w:after="0" w:line="240" w:lineRule="auto"/>
      </w:pPr>
      <w:r>
        <w:separator/>
      </w:r>
    </w:p>
  </w:endnote>
  <w:endnote w:type="continuationSeparator" w:id="0">
    <w:p w14:paraId="54C1EE34" w14:textId="77777777" w:rsidR="00B067FB" w:rsidRDefault="00B0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5E2B" w14:textId="77777777" w:rsidR="00B067FB" w:rsidRDefault="00B067FB">
      <w:pPr>
        <w:spacing w:after="0" w:line="240" w:lineRule="auto"/>
      </w:pPr>
      <w:r>
        <w:separator/>
      </w:r>
    </w:p>
  </w:footnote>
  <w:footnote w:type="continuationSeparator" w:id="0">
    <w:p w14:paraId="16731453" w14:textId="77777777" w:rsidR="00B067FB" w:rsidRDefault="00B06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7D"/>
    <w:rsid w:val="003F3E7D"/>
    <w:rsid w:val="00444932"/>
    <w:rsid w:val="005D594C"/>
    <w:rsid w:val="00722E95"/>
    <w:rsid w:val="00B067FB"/>
    <w:rsid w:val="00DB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33955"/>
  <w14:defaultImageDpi w14:val="0"/>
  <w15:docId w15:val="{B73408EE-D576-4803-8EF2-5EC651F7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F3E7D"/>
    <w:pPr>
      <w:tabs>
        <w:tab w:val="center" w:pos="4677"/>
        <w:tab w:val="right" w:pos="9355"/>
      </w:tabs>
    </w:pPr>
  </w:style>
  <w:style w:type="character" w:customStyle="1" w:styleId="a4">
    <w:name w:val="Верхний колонтитул Знак"/>
    <w:basedOn w:val="a0"/>
    <w:link w:val="a3"/>
    <w:uiPriority w:val="99"/>
    <w:locked/>
    <w:rsid w:val="003F3E7D"/>
    <w:rPr>
      <w:rFonts w:cs="Times New Roman"/>
    </w:rPr>
  </w:style>
  <w:style w:type="paragraph" w:styleId="a5">
    <w:name w:val="footer"/>
    <w:basedOn w:val="a"/>
    <w:link w:val="a6"/>
    <w:uiPriority w:val="99"/>
    <w:unhideWhenUsed/>
    <w:rsid w:val="003F3E7D"/>
    <w:pPr>
      <w:tabs>
        <w:tab w:val="center" w:pos="4677"/>
        <w:tab w:val="right" w:pos="9355"/>
      </w:tabs>
    </w:pPr>
  </w:style>
  <w:style w:type="character" w:customStyle="1" w:styleId="a6">
    <w:name w:val="Нижний колонтитул Знак"/>
    <w:basedOn w:val="a0"/>
    <w:link w:val="a5"/>
    <w:uiPriority w:val="99"/>
    <w:locked/>
    <w:rsid w:val="003F3E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12801</Characters>
  <Application>Microsoft Office Word</Application>
  <DocSecurity>2</DocSecurity>
  <Lines>106</Lines>
  <Paragraphs>30</Paragraphs>
  <ScaleCrop>false</ScaleCrop>
  <Company>КонсультантПлюс Версия 4021.00.20</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Росреестра от 13.05.2021 N 14-3555-ГЕ/21&lt;Об изменениях, внесенных Федеральным законом от 30.04.2021 N 120-ФЗ&gt;</dc:title>
  <dc:subject/>
  <dc:creator>ПК</dc:creator>
  <cp:keywords/>
  <dc:description/>
  <cp:lastModifiedBy>ПК</cp:lastModifiedBy>
  <cp:revision>2</cp:revision>
  <dcterms:created xsi:type="dcterms:W3CDTF">2021-08-31T19:32:00Z</dcterms:created>
  <dcterms:modified xsi:type="dcterms:W3CDTF">2021-08-31T19:32:00Z</dcterms:modified>
</cp:coreProperties>
</file>