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7E" w:rsidRDefault="0039597E" w:rsidP="003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pacing w:val="-1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bCs/>
          <w:color w:val="000000"/>
          <w:spacing w:val="-10"/>
          <w:sz w:val="28"/>
          <w:szCs w:val="28"/>
        </w:rPr>
        <w:t xml:space="preserve">ФЕДЕРАЛЬНАЯ СЛУЖБА ГОСУДАРСТВЕННОЙ РЕГИСТРАЦИИ, КАДАСТРА И КАРТОГРАФИИ </w:t>
      </w:r>
    </w:p>
    <w:p w:rsidR="0039597E" w:rsidRDefault="0039597E" w:rsidP="003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pacing w:val="-10"/>
          <w:sz w:val="28"/>
          <w:szCs w:val="28"/>
        </w:rPr>
      </w:pPr>
    </w:p>
    <w:p w:rsidR="0039597E" w:rsidRPr="0039597E" w:rsidRDefault="0039597E" w:rsidP="003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pacing w:val="-1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bCs/>
          <w:color w:val="000000"/>
          <w:spacing w:val="-10"/>
          <w:sz w:val="28"/>
          <w:szCs w:val="28"/>
        </w:rPr>
        <w:t>ПИСЬМО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bCs/>
          <w:color w:val="000000"/>
          <w:spacing w:val="-10"/>
          <w:sz w:val="28"/>
          <w:szCs w:val="28"/>
        </w:rPr>
        <w:t>от 04.03.2020 № 14-01825-ГЕ/20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4"/>
          <w:szCs w:val="24"/>
        </w:rPr>
      </w:pPr>
    </w:p>
    <w:p w:rsidR="0039597E" w:rsidRPr="0039597E" w:rsidRDefault="0039597E" w:rsidP="0039597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"/>
          <w:szCs w:val="2"/>
        </w:rPr>
      </w:pPr>
      <w:r w:rsidRPr="0039597E">
        <w:rPr>
          <w:rFonts w:ascii="Arial Unicode MS" w:eastAsia="Arial Unicode MS" w:hAnsi="Times New Roman CYR" w:cs="Arial Unicode MS"/>
          <w:color w:val="000000"/>
          <w:sz w:val="24"/>
          <w:szCs w:val="24"/>
        </w:rPr>
        <w:t xml:space="preserve"> </w:t>
      </w:r>
    </w:p>
    <w:p w:rsidR="0039597E" w:rsidRDefault="0039597E" w:rsidP="0039597E">
      <w:pPr>
        <w:autoSpaceDE w:val="0"/>
        <w:autoSpaceDN w:val="0"/>
        <w:adjustRightInd w:val="0"/>
        <w:spacing w:after="452" w:line="470" w:lineRule="atLeast"/>
        <w:ind w:left="20" w:right="40" w:firstLine="700"/>
        <w:jc w:val="both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  <w:t>Федеральная служба государственной регистрации, кадастра и картографии направляет для сведения и возможного учета в работе копии обращения заявителя и письма Департамента недвижимости Минэкономразвития России от 28.11.2019 № Д23и-41317 по вопросу оформления межевого плана земельного участка в связи с его образованием путем раздела земельного участка, предоставленного ранее садоводческому товариществу.</w:t>
      </w:r>
    </w:p>
    <w:p w:rsidR="0039597E" w:rsidRDefault="0039597E" w:rsidP="0039597E">
      <w:pPr>
        <w:autoSpaceDE w:val="0"/>
        <w:autoSpaceDN w:val="0"/>
        <w:adjustRightInd w:val="0"/>
        <w:spacing w:after="0" w:line="240" w:lineRule="auto"/>
        <w:ind w:left="20"/>
        <w:jc w:val="right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  <w:t>Заместитель руководителя</w:t>
      </w:r>
    </w:p>
    <w:p w:rsidR="0039597E" w:rsidRDefault="0039597E" w:rsidP="0039597E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Calibri" w:cs="Arial Unicode MS"/>
          <w:color w:val="000000"/>
          <w:sz w:val="2"/>
          <w:szCs w:val="2"/>
          <w:lang w:val="en-US"/>
        </w:rPr>
      </w:pPr>
    </w:p>
    <w:p w:rsidR="0039597E" w:rsidRDefault="0039597E" w:rsidP="00395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  <w:t>Г.Ю. Елизарова</w:t>
      </w:r>
    </w:p>
    <w:p w:rsidR="0039597E" w:rsidRDefault="0039597E" w:rsidP="0039597E">
      <w:pPr>
        <w:autoSpaceDE w:val="0"/>
        <w:autoSpaceDN w:val="0"/>
        <w:adjustRightInd w:val="0"/>
        <w:spacing w:after="0" w:line="226" w:lineRule="atLeast"/>
        <w:ind w:left="66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19"/>
          <w:szCs w:val="19"/>
        </w:rPr>
      </w:pPr>
    </w:p>
    <w:p w:rsidR="0039597E" w:rsidRDefault="0039597E" w:rsidP="0039597E">
      <w:pPr>
        <w:autoSpaceDE w:val="0"/>
        <w:autoSpaceDN w:val="0"/>
        <w:adjustRightInd w:val="0"/>
        <w:spacing w:after="0" w:line="226" w:lineRule="atLeast"/>
        <w:ind w:left="66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19"/>
          <w:szCs w:val="19"/>
        </w:rPr>
      </w:pPr>
    </w:p>
    <w:p w:rsidR="0039597E" w:rsidRPr="0039597E" w:rsidRDefault="0039597E" w:rsidP="0039597E">
      <w:pPr>
        <w:autoSpaceDE w:val="0"/>
        <w:autoSpaceDN w:val="0"/>
        <w:adjustRightInd w:val="0"/>
        <w:spacing w:after="0" w:line="226" w:lineRule="atLeast"/>
        <w:ind w:left="66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39597E" w:rsidRDefault="0039597E" w:rsidP="0039597E">
      <w:pPr>
        <w:autoSpaceDE w:val="0"/>
        <w:autoSpaceDN w:val="0"/>
        <w:adjustRightInd w:val="0"/>
        <w:spacing w:after="0" w:line="226" w:lineRule="atLeast"/>
        <w:ind w:left="66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</w:p>
    <w:p w:rsidR="0039597E" w:rsidRPr="0039597E" w:rsidRDefault="0039597E" w:rsidP="0039597E">
      <w:pPr>
        <w:autoSpaceDE w:val="0"/>
        <w:autoSpaceDN w:val="0"/>
        <w:adjustRightInd w:val="0"/>
        <w:spacing w:after="0" w:line="226" w:lineRule="atLeast"/>
        <w:ind w:left="66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МИНИСТЕРСТВО ЭКОНОМИЧЕСКОГО РАЗВИТИЯ</w:t>
      </w:r>
    </w:p>
    <w:p w:rsidR="0039597E" w:rsidRPr="0039597E" w:rsidRDefault="0039597E" w:rsidP="0039597E">
      <w:pPr>
        <w:autoSpaceDE w:val="0"/>
        <w:autoSpaceDN w:val="0"/>
        <w:adjustRightInd w:val="0"/>
        <w:spacing w:after="199" w:line="226" w:lineRule="atLeast"/>
        <w:ind w:left="660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color w:val="000000"/>
          <w:sz w:val="28"/>
          <w:szCs w:val="28"/>
        </w:rPr>
        <w:t xml:space="preserve">РОССИЙСКОЙ ФЕДЕРАЦИИ </w:t>
      </w:r>
    </w:p>
    <w:p w:rsidR="0039597E" w:rsidRPr="0039597E" w:rsidRDefault="0039597E" w:rsidP="0039597E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ind w:left="62" w:right="62" w:firstLine="601"/>
        <w:jc w:val="center"/>
        <w:rPr>
          <w:rFonts w:ascii="Times New Roman CYR" w:eastAsia="Arial Unicode MS" w:hAnsi="Times New Roman CYR" w:cs="Times New Roman CYR"/>
          <w:b/>
          <w:color w:val="000000"/>
          <w:spacing w:val="-1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color w:val="000000"/>
          <w:spacing w:val="-10"/>
          <w:sz w:val="28"/>
          <w:szCs w:val="28"/>
        </w:rPr>
        <w:t>ПИСЬМО</w:t>
      </w:r>
    </w:p>
    <w:p w:rsidR="0039597E" w:rsidRPr="0039597E" w:rsidRDefault="0039597E" w:rsidP="0039597E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ind w:left="62" w:right="62" w:firstLine="601"/>
        <w:jc w:val="center"/>
        <w:rPr>
          <w:rFonts w:ascii="Times New Roman CYR" w:eastAsia="Arial Unicode MS" w:hAnsi="Times New Roman CYR" w:cs="Times New Roman CYR"/>
          <w:b/>
          <w:color w:val="000000"/>
          <w:spacing w:val="-10"/>
          <w:sz w:val="28"/>
          <w:szCs w:val="28"/>
        </w:rPr>
      </w:pPr>
      <w:r w:rsidRPr="0039597E">
        <w:rPr>
          <w:rFonts w:ascii="Times New Roman CYR" w:eastAsia="Arial Unicode MS" w:hAnsi="Times New Roman CYR" w:cs="Times New Roman CYR"/>
          <w:b/>
          <w:color w:val="000000"/>
          <w:spacing w:val="-10"/>
          <w:sz w:val="28"/>
          <w:szCs w:val="28"/>
        </w:rPr>
        <w:t>от 28.11.2019 № Д23и-41317</w:t>
      </w:r>
    </w:p>
    <w:p w:rsidR="0039597E" w:rsidRDefault="0039597E" w:rsidP="0039597E">
      <w:pPr>
        <w:tabs>
          <w:tab w:val="left" w:pos="6127"/>
        </w:tabs>
        <w:autoSpaceDE w:val="0"/>
        <w:autoSpaceDN w:val="0"/>
        <w:adjustRightInd w:val="0"/>
        <w:spacing w:after="0" w:line="427" w:lineRule="atLeast"/>
        <w:ind w:left="60" w:right="60" w:firstLine="600"/>
        <w:jc w:val="both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</w:p>
    <w:p w:rsidR="0039597E" w:rsidRPr="0039597E" w:rsidRDefault="0039597E" w:rsidP="0039597E">
      <w:pPr>
        <w:tabs>
          <w:tab w:val="left" w:pos="6127"/>
        </w:tabs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Департамент недвижимости Минэкономразвития России (далее - Департамент) рассмотрел обращение по вопросу оформления прав на земельные участки, предназначенные для ведения садоводства, огородничества, дачного хозяйства в соответствии с порядком, установленным Федеральным законом от 25 октября 2001 г. № 137-ФЭ «О введении в действие Земельного кодекса Российской Федерации» (далее - Закон № 137-ФЗ), и в рамках установленной компетенции сообщает,</w:t>
      </w:r>
      <w:proofErr w:type="gramEnd"/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Согласно пункту 12.4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№ 452, разъяснение законодательства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lastRenderedPageBreak/>
        <w:t>Российской Федерации, практики его применения, а также толкование норм, терминов и понятий осуществляются в случаях, если на них возложена соответствующая обязанность.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437, Минэкономразвития России не наделено полномочиями по разъяснению законодательства Российской Федерации в данной части.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Согласно постановлению Конституционного Суда Российской Федерации от 17 ноября 1997 г. № 17-П официальное, имеющее силу закона разъяснение (толкование)</w:t>
      </w:r>
      <w:r w:rsidR="00A61335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федерального закона, должно </w:t>
      </w: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осуществляться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равно как и принятие, подписание и обнародование актов законодательного органа, то есть с обязательным соблюдением требований статей 105, 106 и 107 Конституции Российской Федерации, предъявляемых к принятию федеральных законов.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Вместе с тем полагаем возможным отметить следующее.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В соответствии со статьей 3 Закона № 1Э7-ФЗ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земельные участки, предназначенные для ведения садоводства, огородничества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или дачного хозяйства, без проведения торгов в собственность бесплатно, если такие земельные участки соответствуют в совокупности условиям, установленным пунктом 2.7 названной статьи, в частности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</w:rPr>
        <w:t>испрашиваемый земельный участок должен быть образован из земельного участка,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предоставленного до дня вступления в силу настоящего Федерального закона для ведения садоводства, огородничества или дачного хозяйства.</w:t>
      </w:r>
      <w:proofErr w:type="gramEnd"/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Порядок предоставления таких земельных участков установлен пунктом 2.8 статьи 3 Закона № 137-Ф3, согласно которому к заявлению гражданина или его законного представителя прилагаются: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lastRenderedPageBreak/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указанной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- ЕГРН);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протокол общего собрания членов указанной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Таким образом, в рамках порядка, установленного статьей 3 Закона № 137-ФЗ,</w:t>
      </w:r>
      <w:r w:rsidR="00A56CA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п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редоставление сведений о земельном участке, из которого образуется испрашиваемый земельный участок, не требуется (в том числе правоустанавливающих документов на такой земельный участок либо документов, определяющих местоположение его границ).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В этой связи следует обратить внимание на следующие выводы, следующие из судебной практики: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- бездействие некоммерческого объединения по оформлению прав на общий земельный участок само по себе не может служить препятствием для члена этого объединения в реализации права на получение земельного участка в собственность (определение Верховного суда Российской Федерации от 5 апреля 2016 г. № 78-КГ16-19); 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- член товарищества может реализовать свои права на приватизацию садового участка и в случае, если права на землю были прекращены, </w:t>
      </w: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например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в случае окончания срока действия договора аренды на земельный участок, составляющий территорию садоводства (определение Верховного суда Российской Федерации от 31 мая 2016 г. </w:t>
      </w:r>
      <w: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       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№ 78-КГ16-19);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- сам по себе факт </w:t>
      </w:r>
      <w:proofErr w:type="spell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неустановления</w:t>
      </w:r>
      <w:proofErr w:type="spell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общих границ территории дачно-строительного кооператива не может служить безусловным основанием </w:t>
      </w: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для отказа в удовлетворении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lastRenderedPageBreak/>
        <w:t>исковых требований о признании прав на земельный участок за членом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такого кооператива (определение Верховного суда Российской Федерации от 6 декабря 2016 г. № 5-КГ16-149).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Из положений пункта 2.7 статьи 3 Закона № 137-Ф3 следует, что садовый земельный участок образуется в результате раздела земельного участка, находящегося в 5 государственной или муниципальной собственности, ранее предоставленного в пользование соответствующей некоммерческой организации.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Таким образом, в </w:t>
      </w: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случае, предусмотренном пунктом 2.7 статьи 3 Закона № 137-Ф3 земельный участок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</w:rPr>
        <w:t>не может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</w:rPr>
        <w:t xml:space="preserve"> быть образован из земель,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находящихся в государственной или муниципальной собственности.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Принимая во внимание цель предоставления земельных участков в порядке, установленном статьей 3 Закона № 137-Ф3, а также ограниченный срок действия такого порядка, по мнению Департамента, в случае если в отношении исходного земельного участка (имеется ввиду территория ведения гражданами садоводства/огородничества) не осуществлялся государственный кадастровый учет и государственная регистрация прав, сведения о таком земельном участке на схеме расположения земельного участка на кадастровом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плане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территории и в межевом плане могут не отражаться.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Также следует отметить, что в случае если сведения об исходном земельном участке </w:t>
      </w:r>
      <w:r w:rsidR="003B4587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в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несены в Единый государственный реестр недвижимости (далее - ЕГРН), с учетом Положений пункта 4 статьи 11.4 Земельного кодекса Российской Федерации, для осуществления государственного кадастрового учета земельного участка, образуемого в порядке, установленном статьей 3 Закона № 137-ФЗ, необходимо представить межевой план, подготовленный кадастровым инженером в связи с образованием такого земельного участка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путем раздела участка, предоставленного ранее созданной некоммерческой организации, с сохранением исходного участка в измененных границах.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360" w:lineRule="auto"/>
        <w:ind w:right="62" w:firstLine="794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При этом отсутствие описания местоположения границ исходного земельного участка в ЕГРН не является препятствием для осуществления государственного кадастрового учета как в отношении образуемых из него земельных участков, так и в отношении внесения в сведения ЕГРН изменений характеристик исходного земельного </w:t>
      </w:r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lastRenderedPageBreak/>
        <w:t>участка (в частности, его площади) в связи с таким образованием и не требует предварительного (до образования новых земельных участков) уточнения местоположения</w:t>
      </w:r>
      <w:proofErr w:type="gramEnd"/>
      <w:r w:rsidRPr="0039597E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 xml:space="preserve"> границ исходного земельного участка.</w:t>
      </w:r>
    </w:p>
    <w:p w:rsidR="0039597E" w:rsidRPr="0039597E" w:rsidRDefault="0039597E" w:rsidP="0039597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4"/>
          <w:szCs w:val="24"/>
        </w:rPr>
      </w:pPr>
    </w:p>
    <w:p w:rsidR="0039597E" w:rsidRPr="0039597E" w:rsidRDefault="0039597E" w:rsidP="0039597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 CYR" w:cs="Arial Unicode MS"/>
          <w:color w:val="000000"/>
          <w:sz w:val="2"/>
          <w:szCs w:val="2"/>
        </w:rPr>
      </w:pPr>
      <w:r w:rsidRPr="0039597E">
        <w:rPr>
          <w:rFonts w:ascii="Arial Unicode MS" w:eastAsia="Arial Unicode MS" w:hAnsi="Times New Roman CYR" w:cs="Arial Unicode MS"/>
          <w:color w:val="000000"/>
          <w:sz w:val="24"/>
          <w:szCs w:val="24"/>
        </w:rPr>
        <w:t xml:space="preserve"> </w:t>
      </w:r>
    </w:p>
    <w:p w:rsidR="0039597E" w:rsidRDefault="0039597E" w:rsidP="0039597E">
      <w:pPr>
        <w:autoSpaceDE w:val="0"/>
        <w:autoSpaceDN w:val="0"/>
        <w:adjustRightInd w:val="0"/>
        <w:spacing w:after="0" w:line="298" w:lineRule="atLeast"/>
        <w:ind w:left="120"/>
        <w:jc w:val="right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  <w:t>Директор Департамента недвижимости</w:t>
      </w:r>
    </w:p>
    <w:p w:rsidR="0039597E" w:rsidRDefault="0039597E" w:rsidP="0039597E">
      <w:pPr>
        <w:autoSpaceDE w:val="0"/>
        <w:autoSpaceDN w:val="0"/>
        <w:adjustRightInd w:val="0"/>
        <w:spacing w:after="0" w:line="280" w:lineRule="atLeast"/>
        <w:ind w:left="100"/>
        <w:jc w:val="right"/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  <w:t xml:space="preserve">А.И. </w:t>
      </w:r>
      <w:proofErr w:type="spellStart"/>
      <w:r>
        <w:rPr>
          <w:rFonts w:ascii="Times New Roman CYR" w:eastAsia="Arial Unicode MS" w:hAnsi="Times New Roman CYR" w:cs="Times New Roman CYR"/>
          <w:color w:val="000000"/>
          <w:spacing w:val="-10"/>
          <w:sz w:val="28"/>
          <w:szCs w:val="28"/>
        </w:rPr>
        <w:t>Бутовецкий</w:t>
      </w:r>
      <w:proofErr w:type="spellEnd"/>
    </w:p>
    <w:p w:rsidR="00545266" w:rsidRDefault="003B4587"/>
    <w:sectPr w:rsidR="00545266" w:rsidSect="0039597E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7E"/>
    <w:rsid w:val="00273967"/>
    <w:rsid w:val="0028634D"/>
    <w:rsid w:val="002F50D2"/>
    <w:rsid w:val="0039597E"/>
    <w:rsid w:val="003B4587"/>
    <w:rsid w:val="00993594"/>
    <w:rsid w:val="00A56CA0"/>
    <w:rsid w:val="00A6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cp:lastPrinted>2020-04-29T14:40:00Z</cp:lastPrinted>
  <dcterms:created xsi:type="dcterms:W3CDTF">2020-04-29T14:30:00Z</dcterms:created>
  <dcterms:modified xsi:type="dcterms:W3CDTF">2020-04-29T14:45:00Z</dcterms:modified>
</cp:coreProperties>
</file>