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Пояснительная записка</w:t>
      </w:r>
    </w:p>
    <w:p>
      <w:pPr>
        <w:pStyle w:val="Normal"/>
        <w:jc w:val="center"/>
        <w:rPr>
          <w:b/>
          <w:b/>
          <w:bCs/>
          <w:sz w:val="28"/>
          <w:szCs w:val="28"/>
        </w:rPr>
      </w:pPr>
      <w:r>
        <w:rPr>
          <w:b/>
          <w:bCs/>
          <w:sz w:val="28"/>
          <w:szCs w:val="28"/>
        </w:rPr>
        <w:t xml:space="preserve">к проекту приказу Минэкономразвития России </w:t>
      </w:r>
    </w:p>
    <w:p>
      <w:pPr>
        <w:pStyle w:val="Normal"/>
        <w:jc w:val="center"/>
        <w:rPr/>
      </w:pPr>
      <w:r>
        <w:rPr>
          <w:b/>
          <w:sz w:val="26"/>
          <w:szCs w:val="26"/>
        </w:rPr>
        <w:t>«</w:t>
      </w:r>
      <w:r>
        <w:rPr>
          <w:b/>
          <w:sz w:val="28"/>
          <w:szCs w:val="28"/>
        </w:rPr>
        <w:t>О внесении изменений в некоторые приказы Минэкономразвития</w:t>
      </w:r>
    </w:p>
    <w:p>
      <w:pPr>
        <w:pStyle w:val="Style28"/>
        <w:jc w:val="center"/>
        <w:rPr/>
      </w:pPr>
      <w:r>
        <w:rPr>
          <w:b/>
          <w:sz w:val="28"/>
          <w:szCs w:val="28"/>
        </w:rPr>
        <w:t>России по вопросам предоставления сведений, содержащихся</w:t>
      </w:r>
    </w:p>
    <w:p>
      <w:pPr>
        <w:pStyle w:val="Normal"/>
        <w:jc w:val="center"/>
        <w:rPr/>
      </w:pPr>
      <w:r>
        <w:rPr>
          <w:b/>
          <w:bCs/>
          <w:sz w:val="28"/>
          <w:szCs w:val="28"/>
        </w:rPr>
        <w:t>в Едином государственном реестре недвижимости»</w:t>
      </w:r>
    </w:p>
    <w:p>
      <w:pPr>
        <w:pStyle w:val="Normal"/>
        <w:jc w:val="center"/>
        <w:rPr>
          <w:b/>
          <w:b/>
          <w:bCs/>
          <w:sz w:val="28"/>
          <w:szCs w:val="28"/>
        </w:rPr>
      </w:pPr>
      <w:r>
        <w:rPr>
          <w:b/>
          <w:bCs/>
          <w:sz w:val="28"/>
          <w:szCs w:val="28"/>
        </w:rPr>
      </w:r>
    </w:p>
    <w:p>
      <w:pPr>
        <w:pStyle w:val="Normal"/>
        <w:spacing w:lineRule="auto" w:line="360"/>
        <w:ind w:firstLine="709"/>
        <w:jc w:val="both"/>
        <w:rPr/>
      </w:pPr>
      <w:r>
        <w:rPr>
          <w:sz w:val="28"/>
          <w:szCs w:val="28"/>
        </w:rPr>
        <w:t xml:space="preserve">С 29 июля 2019 г. вступил в силу Федеральный закон от 18 июля  2019 г. № 194-ФЗ «О внесении изменений в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отдельные законодательные акты Российской Федерации в связи с включением Республики Бурятия и Забайкальского края в состав Дальневосточного федерального округа» (далее – Закон № 194-ФЗ). С 16 сентября 2019 г. вступает в силу Федеральный закон от 17 июня 2019 г. № 150-ФЗ «О внесении изменений в Федеральный закон «О кадастровой деятельности» и Федеральный закон «О государственной регистрации недвижимости» </w:t>
      </w:r>
    </w:p>
    <w:p>
      <w:pPr>
        <w:pStyle w:val="Normal"/>
        <w:spacing w:lineRule="auto" w:line="360"/>
        <w:ind w:firstLine="709"/>
        <w:jc w:val="both"/>
        <w:rPr>
          <w:sz w:val="28"/>
          <w:szCs w:val="28"/>
        </w:rPr>
      </w:pPr>
      <w:r>
        <w:rPr>
          <w:sz w:val="28"/>
          <w:szCs w:val="28"/>
        </w:rPr>
        <w:t>(далее – Закон № 150-ФЗ).</w:t>
      </w:r>
    </w:p>
    <w:p>
      <w:pPr>
        <w:pStyle w:val="Normal"/>
        <w:spacing w:lineRule="auto" w:line="360"/>
        <w:ind w:firstLine="709"/>
        <w:jc w:val="both"/>
        <w:rPr/>
      </w:pPr>
      <w:r>
        <w:rPr>
          <w:sz w:val="28"/>
          <w:szCs w:val="28"/>
        </w:rPr>
        <w:t>Изменениями, внесенными Законом № 194-ФЗ в статьи 5, 7, 10, 32, 34 Федерального закона от 13  июля 2015 г. № 218-ФЗ «О государственной регистрации недвижимости» (далее - Закон № 218-ФЗ), установлен порядок внесения в Единый государственный реестр недвижимости (ЕГРН) сведений о границах Байкальской природной территории и ее экологических зон. Учитывая, что сведения, содержащиеся в ЕГРН, являются общедоступными, если иное не установлено законом, необходимо внесение соответствующих изменений в приказы Минэкономразвития России, регулирующих предоставление сведений, содержащихся в ЕГРН.</w:t>
      </w:r>
    </w:p>
    <w:p>
      <w:pPr>
        <w:pStyle w:val="Normal"/>
        <w:spacing w:lineRule="auto" w:line="360"/>
        <w:ind w:firstLine="709"/>
        <w:jc w:val="both"/>
        <w:rPr/>
      </w:pPr>
      <w:r>
        <w:rPr>
          <w:sz w:val="28"/>
          <w:szCs w:val="28"/>
        </w:rPr>
        <w:t xml:space="preserve">Изменениями, внесенными Законом № 150-ФЗ в статью 62 Закона </w:t>
        <w:br/>
        <w:t>№ 218-ФЗ, установлены особенности предоставления сведений, содержащихся в ЕГРН, кадастровым инженерам, в том числе непосредственным исполнителям комплексных кадастровых работ, и органам местного самоуправления муниципального района или городского округа либо органам исполнительной власти города федерального значения Москвы, Санкт-Петербурга или Севастополя – заказчикам комплексных кадастровых работ (далее – органам власти).</w:t>
      </w:r>
    </w:p>
    <w:p>
      <w:pPr>
        <w:pStyle w:val="Normal"/>
        <w:spacing w:lineRule="auto" w:line="360"/>
        <w:ind w:firstLine="709"/>
        <w:jc w:val="both"/>
        <w:rPr>
          <w:sz w:val="28"/>
          <w:szCs w:val="28"/>
        </w:rPr>
      </w:pPr>
      <w:r>
        <w:rPr>
          <w:sz w:val="28"/>
          <w:szCs w:val="28"/>
        </w:rPr>
        <w:t>Департаментом недвижимости в целях приведения нормативной правовой базы Минэкономразвития России в соответствие с законодательством Российской Федерации разработан проект приказа Минэкономразвития России «О внесении изменений в некоторые приказы Минэкономразвития России по вопросам предоставления сведений, содержащихся в Едином государственном реестре недвижимости» (далее — проект приказа).</w:t>
      </w:r>
    </w:p>
    <w:p>
      <w:pPr>
        <w:pStyle w:val="Normal"/>
        <w:spacing w:lineRule="auto" w:line="360"/>
        <w:ind w:firstLine="709"/>
        <w:jc w:val="both"/>
        <w:rPr/>
      </w:pPr>
      <w:r>
        <w:rPr>
          <w:sz w:val="28"/>
          <w:szCs w:val="28"/>
        </w:rPr>
        <w:t xml:space="preserve">Реализация проекта приказа не потребует выделения дополнительных средств из федерального бюджета. </w:t>
      </w:r>
    </w:p>
    <w:sectPr>
      <w:headerReference w:type="default" r:id="rId2"/>
      <w:headerReference w:type="first" r:id="rId3"/>
      <w:type w:val="nextPage"/>
      <w:pgSz w:w="11906" w:h="16838"/>
      <w:pgMar w:left="1418" w:right="566" w:header="709" w:top="1258" w:footer="0" w:bottom="89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ambria">
    <w:charset w:val="cc"/>
    <w:family w:val="roman"/>
    <w:pitch w:val="variable"/>
  </w:font>
  <w:font w:name="Tahoma">
    <w:charset w:val="cc"/>
    <w:family w:val="swiss"/>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r>
      <mc:AlternateContent>
        <mc:Choice Requires="wps">
          <w:drawing>
            <wp:anchor behindDoc="0" distT="0" distB="0" distL="0" distR="0" simplePos="0" locked="0" layoutInCell="1" allowOverlap="1" relativeHeight="2">
              <wp:simplePos x="0" y="0"/>
              <wp:positionH relativeFrom="margin">
                <wp:align>center</wp:align>
              </wp:positionH>
              <wp:positionV relativeFrom="paragraph">
                <wp:posOffset>635</wp:posOffset>
              </wp:positionV>
              <wp:extent cx="768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Style24"/>
                            <w:rPr>
                              <w:rStyle w:val="Style15"/>
                            </w:rPr>
                          </w:pPr>
                          <w:r>
                            <w:rPr>
                              <w:rStyle w:val="Style15"/>
                            </w:rPr>
                            <w:fldChar w:fldCharType="begin"/>
                          </w:r>
                          <w:r>
                            <w:rPr>
                              <w:rStyle w:val="Style15"/>
                            </w:rPr>
                            <w:instrText> PAGE </w:instrText>
                          </w:r>
                          <w:r>
                            <w:rPr>
                              <w:rStyle w:val="Style15"/>
                            </w:rPr>
                            <w:fldChar w:fldCharType="separate"/>
                          </w:r>
                          <w:r>
                            <w:rPr>
                              <w:rStyle w:val="Style15"/>
                            </w:rPr>
                            <w:t>2</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45.05pt;mso-position-horizontal:center;mso-position-horizontal-relative:margin">
              <v:fill opacity="0f"/>
              <v:textbox>
                <w:txbxContent>
                  <w:p>
                    <w:pPr>
                      <w:pStyle w:val="Style24"/>
                      <w:rPr>
                        <w:rStyle w:val="Style15"/>
                      </w:rPr>
                    </w:pPr>
                    <w:r>
                      <w:rPr>
                        <w:rStyle w:val="Style15"/>
                      </w:rPr>
                      <w:fldChar w:fldCharType="begin"/>
                    </w:r>
                    <w:r>
                      <w:rPr>
                        <w:rStyle w:val="Style15"/>
                      </w:rPr>
                      <w:instrText> PAGE </w:instrText>
                    </w:r>
                    <w:r>
                      <w:rPr>
                        <w:rStyle w:val="Style15"/>
                      </w:rPr>
                      <w:fldChar w:fldCharType="separate"/>
                    </w:r>
                    <w:r>
                      <w:rPr>
                        <w:rStyle w:val="Style15"/>
                      </w:rPr>
                      <w:t>2</w:t>
                    </w:r>
                    <w:r>
                      <w:rPr>
                        <w:rStyle w:val="Style15"/>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ucida 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Style20"/>
    <w:qFormat/>
    <w:pPr>
      <w:numPr>
        <w:ilvl w:val="0"/>
        <w:numId w:val="1"/>
      </w:numPr>
      <w:spacing w:before="280" w:after="280"/>
      <w:outlineLvl w:val="0"/>
    </w:pPr>
    <w:rPr>
      <w:b/>
      <w:kern w:val="2"/>
      <w:sz w:val="48"/>
      <w:szCs w:val="20"/>
    </w:rPr>
  </w:style>
  <w:style w:type="character" w:styleId="WW8Num1z0">
    <w:name w:val="WW8Num1z0"/>
    <w:qFormat/>
    <w:rPr>
      <w:rFonts w:cs="Times New Roman"/>
    </w:rPr>
  </w:style>
  <w:style w:type="character" w:styleId="WW8Num1z1">
    <w:name w:val="WW8Num1z1"/>
    <w:qFormat/>
    <w:rPr>
      <w:rFonts w:cs="Times New Roman"/>
    </w:rPr>
  </w:style>
  <w:style w:type="character" w:styleId="Style13">
    <w:name w:val="Основной шрифт абзаца"/>
    <w:qFormat/>
    <w:rPr/>
  </w:style>
  <w:style w:type="character" w:styleId="Heading1Char">
    <w:name w:val="Heading 1 Char"/>
    <w:qFormat/>
    <w:rPr>
      <w:rFonts w:ascii="Cambria" w:hAnsi="Cambria" w:cs="Times New Roman"/>
      <w:b/>
      <w:bCs/>
      <w:kern w:val="2"/>
      <w:sz w:val="32"/>
      <w:szCs w:val="32"/>
    </w:rPr>
  </w:style>
  <w:style w:type="character" w:styleId="BodyTextIndent2Char">
    <w:name w:val="Body Text Indent 2 Char"/>
    <w:qFormat/>
    <w:rPr>
      <w:rFonts w:cs="Times New Roman"/>
      <w:sz w:val="24"/>
      <w:szCs w:val="24"/>
    </w:rPr>
  </w:style>
  <w:style w:type="character" w:styleId="2">
    <w:name w:val="Основной текст с отступом 2 Знак"/>
    <w:qFormat/>
    <w:rPr>
      <w:sz w:val="24"/>
    </w:rPr>
  </w:style>
  <w:style w:type="character" w:styleId="HeaderChar">
    <w:name w:val="Header Char"/>
    <w:qFormat/>
    <w:rPr>
      <w:rFonts w:cs="Times New Roman"/>
      <w:sz w:val="24"/>
      <w:szCs w:val="24"/>
    </w:rPr>
  </w:style>
  <w:style w:type="character" w:styleId="Style14">
    <w:name w:val="Верхний колонтитул Знак"/>
    <w:qFormat/>
    <w:rPr>
      <w:sz w:val="24"/>
    </w:rPr>
  </w:style>
  <w:style w:type="character" w:styleId="Style15">
    <w:name w:val="Номер страницы"/>
    <w:rPr>
      <w:rFonts w:cs="Times New Roman"/>
    </w:rPr>
  </w:style>
  <w:style w:type="character" w:styleId="Style16">
    <w:name w:val="Интернет-ссылка"/>
    <w:rPr>
      <w:rFonts w:cs="Times New Roman"/>
      <w:color w:val="0000FF"/>
      <w:u w:val="single"/>
    </w:rPr>
  </w:style>
  <w:style w:type="character" w:styleId="BalloonTextChar">
    <w:name w:val="Balloon Text Char"/>
    <w:qFormat/>
    <w:rPr>
      <w:rFonts w:cs="Times New Roman"/>
      <w:sz w:val="2"/>
    </w:rPr>
  </w:style>
  <w:style w:type="character" w:styleId="Style17">
    <w:name w:val="Текст выноски Знак"/>
    <w:qFormat/>
    <w:rPr>
      <w:rFonts w:ascii="Tahoma" w:hAnsi="Tahoma" w:cs="Tahoma"/>
      <w:sz w:val="16"/>
    </w:rPr>
  </w:style>
  <w:style w:type="character" w:styleId="FooterChar">
    <w:name w:val="Footer Char"/>
    <w:qFormat/>
    <w:rPr>
      <w:rFonts w:cs="Times New Roman"/>
      <w:sz w:val="24"/>
      <w:szCs w:val="24"/>
    </w:rPr>
  </w:style>
  <w:style w:type="character" w:styleId="Style18">
    <w:name w:val="Нижний колонтитул Знак"/>
    <w:qFormat/>
    <w:rPr>
      <w:sz w:val="24"/>
    </w:rPr>
  </w:style>
  <w:style w:type="character" w:styleId="11">
    <w:name w:val="Заголовок 1 Знак"/>
    <w:qFormat/>
    <w:rPr>
      <w:b/>
      <w:kern w:val="2"/>
      <w:sz w:val="48"/>
    </w:rPr>
  </w:style>
  <w:style w:type="paragraph" w:styleId="Style19">
    <w:name w:val="Заголовок"/>
    <w:basedOn w:val="Normal"/>
    <w:next w:val="Style20"/>
    <w:qFormat/>
    <w:pPr>
      <w:keepNext w:val="true"/>
      <w:spacing w:before="240" w:after="120"/>
    </w:pPr>
    <w:rPr>
      <w:rFonts w:ascii="Liberation Sans" w:hAnsi="Liberation Sans" w:eastAsia="Droid Sans Fallback"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ConsPlusTitle">
    <w:name w:val="ConsPlusTitle"/>
    <w:qFormat/>
    <w:pPr>
      <w:widowControl/>
      <w:autoSpaceDE w:val="false"/>
    </w:pPr>
    <w:rPr>
      <w:rFonts w:ascii="Times New Roman" w:hAnsi="Times New Roman" w:eastAsia="Times New Roman" w:cs="Times New Roman"/>
      <w:b/>
      <w:bCs/>
      <w:color w:val="auto"/>
      <w:sz w:val="24"/>
      <w:szCs w:val="24"/>
      <w:lang w:val="ru-RU" w:bidi="ar-SA" w:eastAsia="zh-CN"/>
    </w:rPr>
  </w:style>
  <w:style w:type="paragraph" w:styleId="21">
    <w:name w:val="Основной текст с отступом 2"/>
    <w:basedOn w:val="Normal"/>
    <w:qFormat/>
    <w:pPr>
      <w:widowControl w:val="false"/>
      <w:spacing w:lineRule="auto" w:line="360"/>
      <w:ind w:left="720" w:hanging="0"/>
      <w:jc w:val="both"/>
    </w:pPr>
    <w:rPr>
      <w:szCs w:val="20"/>
    </w:rPr>
  </w:style>
  <w:style w:type="paragraph" w:styleId="Style24">
    <w:name w:val="Header"/>
    <w:basedOn w:val="Normal"/>
    <w:pPr/>
    <w:rPr>
      <w:szCs w:val="20"/>
    </w:rPr>
  </w:style>
  <w:style w:type="paragraph"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280" w:after="280"/>
    </w:pPr>
    <w:rPr>
      <w:rFonts w:ascii="Tahoma" w:hAnsi="Tahoma" w:cs="Tahoma"/>
      <w:sz w:val="20"/>
      <w:szCs w:val="20"/>
      <w:lang w:val="en-US"/>
    </w:rPr>
  </w:style>
  <w:style w:type="paragraph" w:styleId="Style25">
    <w:name w:val="Текст выноски"/>
    <w:basedOn w:val="Normal"/>
    <w:qFormat/>
    <w:pPr/>
    <w:rPr>
      <w:rFonts w:ascii="Tahoma" w:hAnsi="Tahoma" w:cs="Tahoma"/>
      <w:sz w:val="16"/>
      <w:szCs w:val="20"/>
    </w:rPr>
  </w:style>
  <w:style w:type="paragraph" w:styleId="12">
    <w:name w:val="марк список 1"/>
    <w:basedOn w:val="Normal"/>
    <w:qFormat/>
    <w:pPr>
      <w:spacing w:before="120" w:after="120"/>
      <w:ind w:left="782" w:hanging="357"/>
      <w:jc w:val="both"/>
    </w:pPr>
    <w:rPr/>
  </w:style>
  <w:style w:type="paragraph" w:styleId="Style26">
    <w:name w:val="Footer"/>
    <w:basedOn w:val="Normal"/>
    <w:pPr/>
    <w:rPr>
      <w:szCs w:val="20"/>
    </w:rPr>
  </w:style>
  <w:style w:type="paragraph" w:styleId="Style27">
    <w:name w:val="Содержимое врезки"/>
    <w:basedOn w:val="Normal"/>
    <w:qFormat/>
    <w:pPr/>
    <w:rPr/>
  </w:style>
  <w:style w:type="paragraph" w:styleId="Style28">
    <w:name w:val="Endnote Text"/>
    <w:basedOn w:val="Normal"/>
    <w:pPr/>
    <w:rPr>
      <w:sz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TotalTime>
  <Application>LibreOffice/6.0.7.3.0$Linux_X86_64 LibreOffice_project/00m0$Build-3</Application>
  <Pages>2</Pages>
  <Words>329</Words>
  <Characters>2342</Characters>
  <CharactersWithSpaces>2670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2019-08-09T18:25:00Z</dcterms:created>
  <dc:creator>User</dc:creator>
  <dc:description/>
  <cp:keywords/>
  <dc:language>ru-RU</dc:language>
  <cp:lastModifiedBy/>
  <cp:lastPrinted>2015-08-10T14:44:00Z</cp:lastPrinted>
  <dcterms:modified xsi:type="dcterms:W3CDTF">2019-08-09T18:30:21Z</dcterms:modified>
  <cp:revision>4</cp:revision>
  <dc:subject/>
  <dc:title>Справка</dc:title>
</cp:coreProperties>
</file>