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353">
      <w:pPr>
        <w:tabs>
          <w:tab w:val="left" w:pos="993"/>
        </w:tabs>
        <w:spacing w:line="360" w:lineRule="auto"/>
        <w:ind w:right="283"/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</w:t>
      </w:r>
    </w:p>
    <w:p w:rsidR="00000000" w:rsidRDefault="00B61353">
      <w:pPr>
        <w:tabs>
          <w:tab w:val="left" w:pos="993"/>
        </w:tabs>
        <w:spacing w:line="360" w:lineRule="auto"/>
        <w:ind w:right="283"/>
        <w:jc w:val="right"/>
        <w:rPr>
          <w:rFonts w:cstheme="minorBidi"/>
        </w:rPr>
      </w:pP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приказу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Минэкономразвития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России</w:t>
      </w:r>
    </w:p>
    <w:p w:rsidR="00000000" w:rsidRDefault="00B61353">
      <w:pPr>
        <w:tabs>
          <w:tab w:val="left" w:pos="993"/>
        </w:tabs>
        <w:spacing w:line="360" w:lineRule="auto"/>
        <w:ind w:right="283"/>
        <w:jc w:val="right"/>
        <w:rPr>
          <w:rFonts w:cstheme="minorBidi"/>
        </w:rPr>
      </w:pP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</w:t>
      </w:r>
      <w:r>
        <w:rPr>
          <w:rFonts w:cstheme="minorBidi"/>
          <w:sz w:val="28"/>
        </w:rPr>
        <w:t>____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______________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______</w:t>
      </w:r>
    </w:p>
    <w:p w:rsidR="00000000" w:rsidRDefault="00B61353">
      <w:pPr>
        <w:tabs>
          <w:tab w:val="left" w:pos="993"/>
        </w:tabs>
        <w:spacing w:line="360" w:lineRule="auto"/>
        <w:jc w:val="center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jc w:val="center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jc w:val="center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jc w:val="center"/>
        <w:rPr>
          <w:rFonts w:cstheme="minorBidi"/>
        </w:rPr>
      </w:pPr>
      <w:r>
        <w:rPr>
          <w:rFonts w:cstheme="minorBidi"/>
          <w:b/>
          <w:sz w:val="28"/>
        </w:rPr>
        <w:t>МЕТОДИКА</w:t>
      </w:r>
      <w:r>
        <w:rPr>
          <w:rFonts w:cstheme="minorBidi"/>
          <w:b/>
          <w:sz w:val="28"/>
        </w:rPr>
        <w:t xml:space="preserve"> </w:t>
      </w:r>
    </w:p>
    <w:p w:rsidR="00000000" w:rsidRDefault="00B61353">
      <w:pPr>
        <w:tabs>
          <w:tab w:val="left" w:pos="993"/>
        </w:tabs>
        <w:ind w:right="283"/>
        <w:jc w:val="center"/>
        <w:rPr>
          <w:rFonts w:cstheme="minorBidi"/>
        </w:rPr>
      </w:pPr>
      <w:r>
        <w:rPr>
          <w:rFonts w:cstheme="minorBidi"/>
          <w:b/>
          <w:sz w:val="28"/>
        </w:rPr>
        <w:t>определения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размера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платы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за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проведение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кадастровых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работ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целях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br/>
      </w:r>
      <w:r>
        <w:rPr>
          <w:rFonts w:cstheme="minorBidi"/>
          <w:b/>
          <w:sz w:val="28"/>
        </w:rPr>
        <w:t>выдачи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межевого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технического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акта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обследования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бюджетными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учреждениями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находящимися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ведении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службы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регистрации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кадастра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картографии</w:t>
      </w:r>
    </w:p>
    <w:p w:rsidR="00000000" w:rsidRDefault="00B61353">
      <w:pPr>
        <w:tabs>
          <w:tab w:val="left" w:pos="993"/>
        </w:tabs>
        <w:spacing w:line="360" w:lineRule="auto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Общие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положения</w:t>
      </w:r>
    </w:p>
    <w:p w:rsidR="00000000" w:rsidRDefault="00B61353">
      <w:pPr>
        <w:tabs>
          <w:tab w:val="left" w:pos="993"/>
        </w:tabs>
        <w:spacing w:line="360" w:lineRule="auto"/>
        <w:ind w:firstLine="567"/>
        <w:jc w:val="center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Настоящая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устанавливает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механиз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>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Учреждение</w:t>
      </w:r>
      <w:r>
        <w:rPr>
          <w:rFonts w:cstheme="minorBidi"/>
          <w:sz w:val="28"/>
        </w:rPr>
        <w:t>).</w:t>
      </w:r>
    </w:p>
    <w:p w:rsidR="00000000" w:rsidRDefault="00B61353">
      <w:pPr>
        <w:tabs>
          <w:tab w:val="left" w:pos="993"/>
        </w:tabs>
        <w:spacing w:line="360" w:lineRule="auto"/>
        <w:ind w:right="283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ind w:right="283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II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</w:p>
    <w:p w:rsidR="00000000" w:rsidRDefault="00B61353">
      <w:pPr>
        <w:tabs>
          <w:tab w:val="left" w:pos="993"/>
        </w:tabs>
        <w:spacing w:line="360" w:lineRule="auto"/>
        <w:ind w:right="283"/>
        <w:jc w:val="center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1.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следующей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>:</w:t>
      </w:r>
    </w:p>
    <w:p w:rsidR="00000000" w:rsidRDefault="00B61353">
      <w:pPr>
        <w:tabs>
          <w:tab w:val="left" w:pos="993"/>
        </w:tabs>
        <w:ind w:right="283" w:firstLine="567"/>
        <w:rPr>
          <w:rFonts w:cstheme="minorBidi"/>
        </w:rPr>
      </w:pPr>
    </w:p>
    <w:p w:rsidR="00000000" w:rsidRDefault="00B61353">
      <w:pPr>
        <w:tabs>
          <w:tab w:val="left" w:pos="993"/>
        </w:tabs>
        <w:ind w:left="-284" w:right="283" w:firstLine="567"/>
        <w:rPr>
          <w:rFonts w:cstheme="minorBid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Размер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Bidi"/>
                </w:rPr>
                <m:t>платы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</w:rPr>
            <m:t>=Трудоемкость×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Цена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Bidi"/>
                </w:rPr>
                <m:t>нормочас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Выручка-</m:t>
                  </m:r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Затраты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Затраты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Bidi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1+НДС</m:t>
              </m:r>
            </m:e>
          </m:d>
          <m:r>
            <m:rPr>
              <m:sty m:val="p"/>
            </m:rPr>
            <w:rPr>
              <w:rFonts w:ascii="Cambria Math" w:hAnsi="Cambria Math" w:cstheme="minorBidi"/>
            </w:rPr>
            <m:t>,</m:t>
          </m:r>
        </m:oMath>
      </m:oMathPara>
    </w:p>
    <w:p w:rsidR="00000000" w:rsidRDefault="00B61353">
      <w:pPr>
        <w:tabs>
          <w:tab w:val="left" w:pos="993"/>
        </w:tabs>
        <w:ind w:right="283" w:firstLine="567"/>
        <w:rPr>
          <w:rFonts w:cstheme="minorBidi"/>
        </w:rPr>
      </w:pP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где</w:t>
      </w:r>
      <w:r>
        <w:rPr>
          <w:rFonts w:cstheme="minorBidi"/>
          <w:sz w:val="28"/>
        </w:rPr>
        <w:t>: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lastRenderedPageBreak/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нормативные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часах</w:t>
      </w:r>
      <w:r>
        <w:rPr>
          <w:rFonts w:cstheme="minorBidi"/>
          <w:sz w:val="28"/>
        </w:rPr>
        <w:t>;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нормочас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учета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налога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добавленную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рублях</w:t>
      </w:r>
      <w:r>
        <w:rPr>
          <w:rFonts w:cstheme="minorBidi"/>
          <w:sz w:val="28"/>
        </w:rPr>
        <w:t xml:space="preserve"> /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часах</w:t>
      </w:r>
      <w:r>
        <w:rPr>
          <w:rFonts w:cstheme="minorBidi"/>
          <w:sz w:val="28"/>
        </w:rPr>
        <w:t>;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Выручка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оценка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выручки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планируемая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Учреждением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филиалом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рамках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каждого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договора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контракта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зависимости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договора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(</w:t>
      </w:r>
      <w:r>
        <w:rPr>
          <w:rFonts w:cstheme="minorBidi"/>
          <w:sz w:val="28"/>
        </w:rPr>
        <w:t>контракта</w:t>
      </w:r>
      <w:r>
        <w:rPr>
          <w:rFonts w:cstheme="minorBidi"/>
          <w:sz w:val="28"/>
        </w:rPr>
        <w:t>);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оценка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планируемых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Учреждением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филиалом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процессе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договора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договоров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включая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накладные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общехозяйственные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расходы</w:t>
      </w:r>
      <w:r>
        <w:rPr>
          <w:rFonts w:cstheme="minorBidi"/>
          <w:sz w:val="28"/>
        </w:rPr>
        <w:t>.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НДС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величина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налога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добавленную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стоимость</w:t>
      </w:r>
      <w:r>
        <w:rPr>
          <w:rFonts w:cstheme="minorBidi"/>
          <w:sz w:val="28"/>
        </w:rPr>
        <w:t>,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долях</w:t>
      </w:r>
      <w:r>
        <w:rPr>
          <w:rFonts w:cstheme="minorBidi"/>
          <w:sz w:val="28"/>
        </w:rPr>
        <w:t>.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2.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предусмотрено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настоящей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размер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должен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включать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себя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получение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однако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обеспечено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нормативных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Приложении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настоящей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Обоснование</w:t>
      </w:r>
      <w:r>
        <w:rPr>
          <w:rFonts w:cstheme="minorBidi"/>
          <w:sz w:val="28"/>
        </w:rPr>
        <w:t>).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4. </w:t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следующей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: 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Цена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Bidi"/>
                </w:rPr>
                <m:t>нормочас</m:t>
              </m:r>
            </m:sub>
          </m:sSub>
          <m:r>
            <m:rPr>
              <m:sty m:val="p"/>
            </m:rPr>
            <w:rPr>
              <w:rFonts w:ascii="Cambria Math" w:hAnsi="Cambria Math" w:cstheme="minorBidi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исп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Рабочее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время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Bidi"/>
            </w:rPr>
            <m:t>х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Bidi"/>
                </w:rPr>
                <m:t>Себестоимость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Bidi"/>
                </w:rPr>
                <m:t>ФОТ</m:t>
              </m:r>
            </m:den>
          </m:f>
          <m:r>
            <m:rPr>
              <m:sty m:val="p"/>
            </m:rPr>
            <w:rPr>
              <w:rFonts w:ascii="Cambria Math" w:hAnsi="Cambria Math" w:cstheme="minorBidi"/>
            </w:rPr>
            <m:t>,</m:t>
          </m:r>
        </m:oMath>
      </m:oMathPara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m:oMathPara>
        <m:oMath>
          <m:r>
            <m:rPr>
              <m:sty m:val="p"/>
            </m:rPr>
            <w:rPr>
              <w:rFonts w:ascii="Cambria Math" w:hAnsi="Cambria Math" w:cstheme="minorBidi"/>
            </w:rPr>
            <m:t>где:</m:t>
          </m:r>
        </m:oMath>
      </m:oMathPara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  <w:sz w:val="28"/>
        </w:rPr>
      </w:pP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Bidi"/>
              </w:rPr>
              <m:t>ЗП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</w:rPr>
              <m:t>исп</m:t>
            </m:r>
          </m:sub>
        </m:sSub>
      </m:oMath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средняя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планируется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планируемая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месячная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заработная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филиала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непосредственно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задействованных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выполнении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;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Ра</w:t>
      </w:r>
      <w:r>
        <w:rPr>
          <w:rFonts w:cstheme="minorBidi"/>
          <w:sz w:val="28"/>
        </w:rPr>
        <w:t>бочее</w:t>
      </w:r>
      <w:r>
        <w:rPr>
          <w:rFonts w:cstheme="minorBidi"/>
          <w:sz w:val="28"/>
        </w:rPr>
        <w:t>_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среднее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планируется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рабочих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месяце</w:t>
      </w:r>
      <w:r>
        <w:rPr>
          <w:rFonts w:cstheme="minorBidi"/>
          <w:sz w:val="28"/>
        </w:rPr>
        <w:t>;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Себестоимость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стоимостная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оценка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используемых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процессе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включая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накладные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общехозяйственные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расходы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</w:t>
      </w:r>
      <w:r>
        <w:rPr>
          <w:rFonts w:cstheme="minorBidi"/>
          <w:sz w:val="28"/>
        </w:rPr>
        <w:t>;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>ФОТ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</w:t>
      </w:r>
      <w:r>
        <w:rPr>
          <w:rFonts w:cstheme="minorBidi"/>
          <w:sz w:val="28"/>
        </w:rPr>
        <w:t>уемый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фонд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филиала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непосредственно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задействованных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B61353">
      <w:pPr>
        <w:tabs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5. </w:t>
      </w:r>
      <w:r>
        <w:rPr>
          <w:rFonts w:cstheme="minorBidi"/>
          <w:sz w:val="28"/>
        </w:rPr>
        <w:t>Цена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человеко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подлежит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пересмотру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один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года</w:t>
      </w:r>
      <w:r>
        <w:rPr>
          <w:rFonts w:cstheme="minorBidi"/>
          <w:sz w:val="28"/>
        </w:rPr>
        <w:t>.</w:t>
      </w:r>
    </w:p>
    <w:p w:rsidR="00000000" w:rsidRDefault="00B61353">
      <w:pPr>
        <w:tabs>
          <w:tab w:val="left" w:pos="0"/>
          <w:tab w:val="left" w:pos="993"/>
        </w:tabs>
        <w:spacing w:line="360" w:lineRule="auto"/>
        <w:ind w:right="283"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6. </w:t>
      </w:r>
      <w:r>
        <w:rPr>
          <w:rFonts w:cstheme="minorBidi"/>
          <w:sz w:val="28"/>
        </w:rPr>
        <w:t>Примеры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</w:t>
      </w:r>
      <w:r>
        <w:rPr>
          <w:rFonts w:cstheme="minorBidi"/>
          <w:sz w:val="28"/>
        </w:rPr>
        <w:t>лнению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</w:t>
      </w:r>
      <w:r>
        <w:rPr>
          <w:rFonts w:cstheme="minorBidi"/>
          <w:sz w:val="28"/>
        </w:rPr>
        <w:t>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приведены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Приложении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настоящей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методике</w:t>
      </w:r>
      <w:r>
        <w:rPr>
          <w:rFonts w:cstheme="minorBidi"/>
          <w:sz w:val="28"/>
        </w:rPr>
        <w:t>.</w:t>
      </w:r>
    </w:p>
    <w:p w:rsidR="00000000" w:rsidRDefault="00B61353">
      <w:pPr>
        <w:tabs>
          <w:tab w:val="left" w:pos="0"/>
        </w:tabs>
        <w:spacing w:line="360" w:lineRule="auto"/>
        <w:ind w:right="283" w:hanging="568"/>
        <w:jc w:val="both"/>
        <w:rPr>
          <w:rFonts w:cstheme="minorBidi"/>
          <w:sz w:val="28"/>
        </w:rPr>
      </w:pPr>
    </w:p>
    <w:p w:rsidR="00000000" w:rsidRDefault="00B61353">
      <w:pPr>
        <w:spacing w:line="360" w:lineRule="auto"/>
        <w:ind w:right="283" w:firstLine="709"/>
        <w:jc w:val="both"/>
        <w:rPr>
          <w:rFonts w:cstheme="minorBidi"/>
        </w:rPr>
      </w:pPr>
    </w:p>
    <w:sectPr w:rsidR="00000000">
      <w:type w:val="continuous"/>
      <w:pgSz w:w="11906" w:h="16838"/>
      <w:pgMar w:top="1134" w:right="424" w:bottom="709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353">
      <w:r>
        <w:separator/>
      </w:r>
    </w:p>
  </w:endnote>
  <w:endnote w:type="continuationSeparator" w:id="0">
    <w:p w:rsidR="00000000" w:rsidRDefault="00B6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353">
      <w:r>
        <w:rPr>
          <w:rFonts w:ascii="Calibri" w:eastAsiaTheme="minorEastAsia" w:cstheme="minorBidi"/>
        </w:rPr>
        <w:separator/>
      </w:r>
    </w:p>
  </w:footnote>
  <w:footnote w:type="continuationSeparator" w:id="0">
    <w:p w:rsidR="00000000" w:rsidRDefault="00B6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53"/>
    <w:rsid w:val="00B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">
    <w:name w:val="Т3fе3fк3fс3fт3f с3fн3fо3fс3fк3fи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">
    <w:name w:val="П3fр3fи3fв3fя3fз3fк3fа3f с3fн3fо3fс3fк3fи3f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3f3f3f3f3f3f3f3f3f3f3f3f3f3f3f3f3f3f3f3f3f3f3f">
    <w:name w:val="Т3fе3fк3fс3fт3f к3fо3fн3fц3fе3fв3fо3fй3f с3fн3fо3fс3fк3fи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styleId="a4">
    <w:name w:val="annotation reference"/>
    <w:basedOn w:val="a0"/>
    <w:uiPriority w:val="99"/>
    <w:rPr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Pr>
      <w:rFonts w:ascii="Times New Roman" w:eastAsia="Times New Roman" w:cs="Times New Roman"/>
      <w:b/>
      <w:bCs/>
      <w:sz w:val="20"/>
      <w:szCs w:val="20"/>
    </w:rPr>
  </w:style>
  <w:style w:type="character" w:customStyle="1" w:styleId="ListLabel1">
    <w:name w:val="ListLabel 1"/>
    <w:uiPriority w:val="99"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</w:style>
  <w:style w:type="paragraph" w:styleId="a5">
    <w:name w:val="Balloon Text"/>
    <w:basedOn w:val="a"/>
    <w:link w:val="a6"/>
    <w:uiPriority w:val="99"/>
    <w:pPr>
      <w:suppressAutoHyphens w:val="0"/>
    </w:pPr>
    <w:rPr>
      <w:rFonts w:asci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3f3f3f3f3f3f0">
    <w:name w:val="С3fн3fо3fс3fк3fа3f"/>
    <w:basedOn w:val="a"/>
    <w:uiPriority w:val="99"/>
    <w:pPr>
      <w:suppressAutoHyphens w:val="0"/>
    </w:pPr>
    <w:rPr>
      <w:sz w:val="20"/>
      <w:szCs w:val="20"/>
    </w:rPr>
  </w:style>
  <w:style w:type="paragraph" w:customStyle="1" w:styleId="3f3f3f3f3f3f3f3f3f3f3f3f3f3f0">
    <w:name w:val="К3fо3fн3fц3fе3fв3fа3fя3f с3fн3fо3fс3fк3fа3f"/>
    <w:basedOn w:val="a"/>
    <w:uiPriority w:val="99"/>
    <w:pPr>
      <w:suppressAutoHyphens w:val="0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pPr>
      <w:suppressAutoHyphens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eastAsia="Times New Roman" w:hAnsi="Calibri" w:cs="Times New Roman"/>
      <w:sz w:val="20"/>
      <w:szCs w:val="20"/>
    </w:rPr>
  </w:style>
  <w:style w:type="paragraph" w:styleId="a9">
    <w:name w:val="annotation subject"/>
    <w:basedOn w:val="a7"/>
    <w:link w:val="aa"/>
    <w:uiPriority w:val="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99"/>
    <w:qFormat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Pr>
      <w:color w:val="808080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">
    <w:name w:val="Т3fе3fк3fс3fт3f с3fн3fо3fс3fк3fи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">
    <w:name w:val="П3fр3fи3fв3fя3fз3fк3fа3f с3fн3fо3fс3fк3fи3f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3f3f3f3f3f3f3f3f3f3f3f3f3f3f3f3f3f3f3f3f3f3f3f">
    <w:name w:val="Т3fе3fк3fс3fт3f к3fо3fн3fц3fе3fв3fо3fй3f с3fн3fо3fс3fк3fи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styleId="a4">
    <w:name w:val="annotation reference"/>
    <w:basedOn w:val="a0"/>
    <w:uiPriority w:val="99"/>
    <w:rPr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Pr>
      <w:rFonts w:ascii="Times New Roman" w:eastAsia="Times New Roman" w:cs="Times New Roman"/>
      <w:b/>
      <w:bCs/>
      <w:sz w:val="20"/>
      <w:szCs w:val="20"/>
    </w:rPr>
  </w:style>
  <w:style w:type="character" w:customStyle="1" w:styleId="ListLabel1">
    <w:name w:val="ListLabel 1"/>
    <w:uiPriority w:val="99"/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</w:style>
  <w:style w:type="paragraph" w:styleId="a5">
    <w:name w:val="Balloon Text"/>
    <w:basedOn w:val="a"/>
    <w:link w:val="a6"/>
    <w:uiPriority w:val="99"/>
    <w:pPr>
      <w:suppressAutoHyphens w:val="0"/>
    </w:pPr>
    <w:rPr>
      <w:rFonts w:asci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3f3f3f3f3f3f0">
    <w:name w:val="С3fн3fо3fс3fк3fа3f"/>
    <w:basedOn w:val="a"/>
    <w:uiPriority w:val="99"/>
    <w:pPr>
      <w:suppressAutoHyphens w:val="0"/>
    </w:pPr>
    <w:rPr>
      <w:sz w:val="20"/>
      <w:szCs w:val="20"/>
    </w:rPr>
  </w:style>
  <w:style w:type="paragraph" w:customStyle="1" w:styleId="3f3f3f3f3f3f3f3f3f3f3f3f3f3f0">
    <w:name w:val="К3fо3fн3fц3fе3fв3fа3fя3f с3fн3fо3fс3fк3fа3f"/>
    <w:basedOn w:val="a"/>
    <w:uiPriority w:val="99"/>
    <w:pPr>
      <w:suppressAutoHyphens w:val="0"/>
    </w:pPr>
    <w:rPr>
      <w:sz w:val="20"/>
      <w:szCs w:val="20"/>
    </w:rPr>
  </w:style>
  <w:style w:type="paragraph" w:styleId="a7">
    <w:name w:val="annotation text"/>
    <w:basedOn w:val="a"/>
    <w:link w:val="a8"/>
    <w:uiPriority w:val="99"/>
    <w:pPr>
      <w:suppressAutoHyphens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eastAsia="Times New Roman" w:hAnsi="Calibri" w:cs="Times New Roman"/>
      <w:sz w:val="20"/>
      <w:szCs w:val="20"/>
    </w:rPr>
  </w:style>
  <w:style w:type="paragraph" w:styleId="a9">
    <w:name w:val="annotation subject"/>
    <w:basedOn w:val="a7"/>
    <w:link w:val="aa"/>
    <w:uiPriority w:val="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" w:eastAsia="Times New Roman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99"/>
    <w:qFormat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Нуртдинова Галия Иршатовна</dc:creator>
  <cp:lastModifiedBy>Виктор С. Кислов</cp:lastModifiedBy>
  <cp:revision>2</cp:revision>
  <cp:lastPrinted>2019-01-18T11:10:00Z</cp:lastPrinted>
  <dcterms:created xsi:type="dcterms:W3CDTF">2019-05-21T09:19:00Z</dcterms:created>
  <dcterms:modified xsi:type="dcterms:W3CDTF">2019-05-21T09:19:00Z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